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54482B" w:rsidRDefault="0054482B" w:rsidP="0054482B">
      <w:pPr>
        <w:pStyle w:val="ConsPlusNormal"/>
        <w:jc w:val="both"/>
      </w:pPr>
    </w:p>
    <w:p w:rsidR="0054482B" w:rsidRDefault="0054482B" w:rsidP="0054482B">
      <w:pPr>
        <w:pStyle w:val="ConsPlusTitle"/>
        <w:jc w:val="center"/>
      </w:pPr>
      <w:r>
        <w:t>ПАСПОРТ</w:t>
      </w:r>
    </w:p>
    <w:p w:rsidR="0054482B" w:rsidRDefault="0054482B" w:rsidP="0054482B">
      <w:pPr>
        <w:pStyle w:val="ConsPlusTitle"/>
        <w:jc w:val="center"/>
      </w:pPr>
      <w:r>
        <w:t>ОСОБО ОХРАНЯЕМОЙ ПРИРОДНОЙ ТЕРРИТОРИИ</w:t>
      </w:r>
    </w:p>
    <w:p w:rsidR="0054482B" w:rsidRDefault="0054482B" w:rsidP="0054482B">
      <w:pPr>
        <w:pStyle w:val="ConsPlusTitle"/>
        <w:jc w:val="center"/>
      </w:pPr>
      <w:r>
        <w:t>ЛЕНИНГРАДСКОЙ ОБЛАСТИ</w:t>
      </w:r>
    </w:p>
    <w:p w:rsidR="0054482B" w:rsidRDefault="0054482B" w:rsidP="0054482B">
      <w:pPr>
        <w:pStyle w:val="ConsPlusNormal"/>
        <w:spacing w:after="1"/>
      </w:pPr>
    </w:p>
    <w:p w:rsidR="0054482B" w:rsidRDefault="0054482B" w:rsidP="0054482B">
      <w:pPr>
        <w:pStyle w:val="ConsPlusNormal"/>
        <w:jc w:val="both"/>
      </w:pPr>
    </w:p>
    <w:p w:rsidR="00943534" w:rsidRDefault="00943534" w:rsidP="00943534">
      <w:pPr>
        <w:pStyle w:val="ConsPlusNormal"/>
        <w:ind w:firstLine="540"/>
        <w:jc w:val="both"/>
      </w:pPr>
      <w:r>
        <w:t>1. Наименование: ГЕОЛОГИЧЕСКИЕ ОБНАЖЕНИЯ ДЕВОНА И ШТОЛЬНИ НА Р. ОРЕДЕЖ У Д. БОРЩОВО (ОЗ. АНТОНОВО).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2. Статус: региональный.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3. Категория и вид: геологический (стратиграфический, техногенный) памятник природы.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4. Адрес и местоположение: </w:t>
      </w:r>
      <w:proofErr w:type="spellStart"/>
      <w:r>
        <w:t>Лужский</w:t>
      </w:r>
      <w:proofErr w:type="spellEnd"/>
      <w:r>
        <w:t xml:space="preserve"> район, окрестности д. </w:t>
      </w:r>
      <w:proofErr w:type="spellStart"/>
      <w:r>
        <w:t>Борщово</w:t>
      </w:r>
      <w:proofErr w:type="spellEnd"/>
      <w:r>
        <w:t>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5. Площадь: 270 га.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943534" w:rsidRDefault="00943534" w:rsidP="00943534">
      <w:pPr>
        <w:pStyle w:val="ConsPlusNormal"/>
        <w:jc w:val="both"/>
      </w:pPr>
      <w:r>
        <w:t xml:space="preserve">(п. 6 в ред. </w:t>
      </w:r>
      <w:hyperlink r:id="rId4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7. Основание для организации: постановление Правительства Ленинградской области N 494 от 26.12.1996.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8. Пути подъезда: от Санкт-Петербурга до г. Луга и от него на рейсовом автобусе Луга - Ям-</w:t>
      </w:r>
      <w:proofErr w:type="spellStart"/>
      <w:r>
        <w:t>Тесово</w:t>
      </w:r>
      <w:proofErr w:type="spellEnd"/>
      <w:r>
        <w:t xml:space="preserve">, до дер. </w:t>
      </w:r>
      <w:proofErr w:type="spellStart"/>
      <w:r>
        <w:t>Борщово</w:t>
      </w:r>
      <w:proofErr w:type="spellEnd"/>
      <w:r>
        <w:t>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9. Границы: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северная - от северо-восточной окраины пос. Торковичи по границе </w:t>
      </w:r>
      <w:proofErr w:type="spellStart"/>
      <w:r>
        <w:t>водоохранной</w:t>
      </w:r>
      <w:proofErr w:type="spellEnd"/>
      <w:r>
        <w:t xml:space="preserve"> зоны р. Оредеж, в 300 м от уреза воды, до ЛЭП и далее по ней до ее перехода на левый берег реки;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восточная - по ЛЭП, пересекающей долину р. Оредеж в 200 м восточнее дер. </w:t>
      </w:r>
      <w:proofErr w:type="spellStart"/>
      <w:r>
        <w:t>Овиновичи</w:t>
      </w:r>
      <w:proofErr w:type="spellEnd"/>
      <w:r>
        <w:t>, до шоссе Луга - Ям-</w:t>
      </w:r>
      <w:proofErr w:type="spellStart"/>
      <w:r>
        <w:t>Тесово</w:t>
      </w:r>
      <w:proofErr w:type="spellEnd"/>
      <w:r>
        <w:t>;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южная - по шоссе от ЛЭП на Лугу (на запад) 900 м и далее 2100 м по границе </w:t>
      </w:r>
      <w:proofErr w:type="spellStart"/>
      <w:r>
        <w:t>водоохранной</w:t>
      </w:r>
      <w:proofErr w:type="spellEnd"/>
      <w:r>
        <w:t xml:space="preserve"> зоны р. Оредеж параллельно урезу воды до ЛЭП, идущей от дер. </w:t>
      </w:r>
      <w:proofErr w:type="spellStart"/>
      <w:r>
        <w:t>Борщово</w:t>
      </w:r>
      <w:proofErr w:type="spellEnd"/>
      <w:r>
        <w:t xml:space="preserve"> к насосной станции на берегу реки;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западная - от насосной станции на север через долину р. Оредеж в 300 м от уреза воды до восточной окраины п. Торковичи.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10. Цель создания: охрана выходов на дневную поверхность геологических пород девонского возраста и остатков старых штолен.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11. Краткое описание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Оз. Антоново приурочено к озеровидному расширению в долине р. Оредеж. На этом участке современное русло реки использует отрезок древней доледниковой долины, благодаря чему в ее бортах на дневную поверхность выходят отложения девонского возраста. Они представлены песчаниками белого и красного цвета, которые находятся в левом борту долины р. Оредеж на крутом склоне коренного берега среди задерненных участков и осыпей. Относительная высота бровки коренного берега над урезом воды р. Оредеж - около 27-28 м, но выходы девонских пород прослеживаются значительно ниже, отдельными пятнами или фрагментами, преимущественно на относительных высотах от 10 до 18 м. Протяженность склона с выходами девонских пород составляет 750-800 м.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В девонских отложениях, главным образом на контакте красных и подстилающих их белых песчаников, </w:t>
      </w:r>
      <w:r>
        <w:lastRenderedPageBreak/>
        <w:t>есть несколько ходов и лазов в старые штольни, в которых в 1927-29 годах добывалась продуктовая толща как сырье для стекольного производства. Как и все известные "пещеры" в Ленинградской области, штольни представляют большой научный интерес, т.к. позволяют проследить подземное залегание горных пород в их естественном виде. Из-за того, что штольни проложены в рыхлых осадочных породах, пребывание в них представляет опасность для жизни. Ввиду постоянно происходящих в них обрушений, длина и профиль этих "пещер" и лазов постоянно меняются. Часть из них засыпается. Так, из 5 лазов в штольни, обнаруженных и описанных в 1977 г. изучавшими этот объект геологами Ленинградской комплексной геологической экспедиции, в 1995 г. при контрольном посещении было обнаружено лишь 2.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12. Объекты, заслуживающие особой охраны: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обнажения девона,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штольни.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13. Режим охраны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Запрещаются: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все виды строительных, горных и мелиоративных работ,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распашка земель,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рубки леса,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отвод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прокладка любых видов коммуникаций,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захламление территории,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- добыча полезных ископаемых, а также проведение </w:t>
      </w:r>
      <w:proofErr w:type="spellStart"/>
      <w:r>
        <w:t>поисковооценочных</w:t>
      </w:r>
      <w:proofErr w:type="spellEnd"/>
      <w:r>
        <w:t xml:space="preserve"> и </w:t>
      </w:r>
      <w:proofErr w:type="gramStart"/>
      <w:r>
        <w:t>геолого-разведочных</w:t>
      </w:r>
      <w:proofErr w:type="gramEnd"/>
      <w:r>
        <w:t xml:space="preserve"> работ, выполняемых с нарушением недр,</w:t>
      </w:r>
    </w:p>
    <w:p w:rsidR="00943534" w:rsidRDefault="00943534" w:rsidP="00943534">
      <w:pPr>
        <w:pStyle w:val="ConsPlusNormal"/>
        <w:jc w:val="both"/>
      </w:pPr>
      <w:r>
        <w:t xml:space="preserve">(абзац введен </w:t>
      </w:r>
      <w:hyperlink r:id="rId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- выпас и прогон скота в </w:t>
      </w:r>
      <w:proofErr w:type="spellStart"/>
      <w:r>
        <w:t>водоохранной</w:t>
      </w:r>
      <w:proofErr w:type="spellEnd"/>
      <w:r>
        <w:t xml:space="preserve"> зоне озер и болот или в полосе шириной 500 метров от уреза воды или края болота при неустановленной </w:t>
      </w:r>
      <w:proofErr w:type="spellStart"/>
      <w:r>
        <w:t>водоохранной</w:t>
      </w:r>
      <w:proofErr w:type="spellEnd"/>
      <w:r>
        <w:t xml:space="preserve"> зоне.</w:t>
      </w:r>
    </w:p>
    <w:p w:rsidR="00943534" w:rsidRDefault="00943534" w:rsidP="00943534">
      <w:pPr>
        <w:pStyle w:val="ConsPlusNormal"/>
        <w:jc w:val="both"/>
      </w:pPr>
      <w:r>
        <w:t xml:space="preserve">(абзац введен </w:t>
      </w:r>
      <w:hyperlink r:id="rId6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Разрешаются: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проведение научно-исследовательских работ,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познавательные экскурсии со школьниками и студентами,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проведение всех видов рубок, разрешенных на данной особо охраняемой природной территории, в зимнее время по снегу,</w:t>
      </w:r>
    </w:p>
    <w:p w:rsidR="00943534" w:rsidRDefault="00943534" w:rsidP="00943534">
      <w:pPr>
        <w:pStyle w:val="ConsPlusNormal"/>
        <w:jc w:val="both"/>
      </w:pPr>
      <w:r>
        <w:t xml:space="preserve">(абзац введен </w:t>
      </w:r>
      <w:hyperlink r:id="rId7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spellStart"/>
      <w:r>
        <w:t>геоэкологических</w:t>
      </w:r>
      <w:proofErr w:type="spellEnd"/>
      <w: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области.</w:t>
      </w:r>
    </w:p>
    <w:p w:rsidR="00943534" w:rsidRDefault="00943534" w:rsidP="00943534">
      <w:pPr>
        <w:pStyle w:val="ConsPlusNormal"/>
        <w:jc w:val="both"/>
      </w:pPr>
      <w:r>
        <w:t xml:space="preserve">(абзац введен </w:t>
      </w:r>
      <w:hyperlink r:id="rId8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Рекомендуемые мероприятия: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- обустройство отдельных штолен для безопасного и регламентированного проведения экскурсий,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14. Охрану памятника природы осуществляет уполномоченный орган исполнительной власти Ленинградской области.</w:t>
      </w:r>
    </w:p>
    <w:p w:rsidR="00943534" w:rsidRDefault="00943534" w:rsidP="00943534">
      <w:pPr>
        <w:pStyle w:val="ConsPlusNormal"/>
        <w:jc w:val="both"/>
      </w:pPr>
      <w:r>
        <w:lastRenderedPageBreak/>
        <w:t xml:space="preserve">(п. 14 в ред. </w:t>
      </w:r>
      <w:hyperlink r:id="rId9" w:tooltip="Постановление Правительства Ленинградской области от 18.03.2010 N 60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р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18.03.2010 N 60)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15. Перечень землепользователей: совхоз "Новый мир", АОЗТ "Ям-</w:t>
      </w:r>
      <w:proofErr w:type="spellStart"/>
      <w:r>
        <w:t>Тесовское</w:t>
      </w:r>
      <w:proofErr w:type="spellEnd"/>
      <w:r>
        <w:t>", совхоз "</w:t>
      </w:r>
      <w:proofErr w:type="spellStart"/>
      <w:r>
        <w:t>Оредежский</w:t>
      </w:r>
      <w:proofErr w:type="spellEnd"/>
      <w:r>
        <w:t>", Приозерная волость.</w:t>
      </w:r>
    </w:p>
    <w:p w:rsidR="00943534" w:rsidRDefault="00943534" w:rsidP="00943534">
      <w:pPr>
        <w:pStyle w:val="ConsPlusNormal"/>
        <w:spacing w:before="200"/>
        <w:ind w:firstLine="540"/>
        <w:jc w:val="both"/>
      </w:pPr>
      <w:r>
        <w:t>16. Вносимые изменения.</w:t>
      </w:r>
    </w:p>
    <w:p w:rsidR="00004BBE" w:rsidRDefault="00004BBE" w:rsidP="000A3FE9">
      <w:pPr>
        <w:pStyle w:val="ConsPlusNormal"/>
        <w:ind w:firstLine="540"/>
        <w:jc w:val="both"/>
      </w:pPr>
      <w:bookmarkStart w:id="0" w:name="_GoBack"/>
      <w:bookmarkEnd w:id="0"/>
    </w:p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54482B"/>
    <w:rsid w:val="00696B17"/>
    <w:rsid w:val="00943534"/>
    <w:rsid w:val="00BB3CFA"/>
    <w:rsid w:val="00C0610A"/>
    <w:rsid w:val="00D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44782&amp;dst=1000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hyperlink" Target="https://login.consultant.ru/link/?req=doc&amp;base=SPB&amp;n=9720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8</cp:revision>
  <dcterms:created xsi:type="dcterms:W3CDTF">2024-06-06T10:19:00Z</dcterms:created>
  <dcterms:modified xsi:type="dcterms:W3CDTF">2024-06-07T08:08:00Z</dcterms:modified>
</cp:coreProperties>
</file>