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26.12.1996 N 494</w:t>
      </w:r>
    </w:p>
    <w:p w:rsidR="0054482B" w:rsidRDefault="0054482B" w:rsidP="0054482B">
      <w:pPr>
        <w:pStyle w:val="ConsPlusNormal"/>
        <w:jc w:val="both"/>
      </w:pPr>
      <w:bookmarkStart w:id="0" w:name="_GoBack"/>
      <w:bookmarkEnd w:id="0"/>
    </w:p>
    <w:p w:rsidR="0054482B" w:rsidRDefault="0054482B" w:rsidP="0054482B">
      <w:pPr>
        <w:pStyle w:val="ConsPlusTitle"/>
        <w:jc w:val="center"/>
      </w:pPr>
      <w:r>
        <w:t>ПАСПОРТ</w:t>
      </w:r>
    </w:p>
    <w:p w:rsidR="0054482B" w:rsidRDefault="0054482B" w:rsidP="0054482B">
      <w:pPr>
        <w:pStyle w:val="ConsPlusTitle"/>
        <w:jc w:val="center"/>
      </w:pPr>
      <w:r>
        <w:t>ОСОБО ОХРАНЯЕМОЙ ПРИРОДНОЙ ТЕРРИТОРИИ</w:t>
      </w:r>
    </w:p>
    <w:p w:rsidR="0054482B" w:rsidRDefault="0054482B" w:rsidP="0054482B">
      <w:pPr>
        <w:pStyle w:val="ConsPlusTitle"/>
        <w:jc w:val="center"/>
      </w:pPr>
      <w:r>
        <w:t>ЛЕНИНГРАДСКОЙ ОБЛАСТИ</w:t>
      </w:r>
    </w:p>
    <w:p w:rsidR="0054482B" w:rsidRDefault="0054482B" w:rsidP="0054482B">
      <w:pPr>
        <w:pStyle w:val="ConsPlusNormal"/>
        <w:spacing w:after="1"/>
      </w:pPr>
    </w:p>
    <w:p w:rsidR="0054482B" w:rsidRDefault="0054482B" w:rsidP="0054482B">
      <w:pPr>
        <w:pStyle w:val="ConsPlusNormal"/>
        <w:jc w:val="both"/>
      </w:pPr>
    </w:p>
    <w:p w:rsidR="000A3FE9" w:rsidRDefault="000A3FE9" w:rsidP="000A3FE9">
      <w:pPr>
        <w:pStyle w:val="ConsPlusNormal"/>
        <w:ind w:firstLine="540"/>
        <w:jc w:val="both"/>
      </w:pPr>
      <w:r>
        <w:t>1. Наименование: ГЕОЛОГИЧЕСКИЕ ОБНАЖЕНИЯ ДЕВОНА НА Р. ОРЕДЕЖ У ПОС. ЯМ-ТЕСОВО.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2. Статус: региональный.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3. Категория и вид: геологический (стратиграфический) памятник природы.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 xml:space="preserve">4. Адрес и местоположение: </w:t>
      </w:r>
      <w:proofErr w:type="spellStart"/>
      <w:r>
        <w:t>Лужский</w:t>
      </w:r>
      <w:proofErr w:type="spellEnd"/>
      <w:r>
        <w:t xml:space="preserve"> район, окрестности пос. Ям-</w:t>
      </w:r>
      <w:proofErr w:type="spellStart"/>
      <w:r>
        <w:t>Тесово</w:t>
      </w:r>
      <w:proofErr w:type="spellEnd"/>
      <w:r>
        <w:t>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5. Площадь: 225 га.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6.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0A3FE9" w:rsidRDefault="000A3FE9" w:rsidP="000A3FE9">
      <w:pPr>
        <w:pStyle w:val="ConsPlusNormal"/>
        <w:jc w:val="both"/>
      </w:pPr>
      <w:r>
        <w:t xml:space="preserve">(п. 6 в ред. </w:t>
      </w:r>
      <w:hyperlink r:id="rId4" w:tooltip="Постановление Правительства Ленинградской области от 06.05.2016 N 138 &quot;О внесении изменений в отдельные нормативные правовые акты Ленинградской области об особо охраняемых природных территориях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06.05.2016 N 138)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7. Основание для организации: постановление Правительства Ленинградской области N 494 от 26.12.1996.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8. Пути подъезда: от Санкт-Петербурга до г. Луги, далее рейсовым автобусом до пос. Ям-</w:t>
      </w:r>
      <w:proofErr w:type="spellStart"/>
      <w:r>
        <w:t>Тесово</w:t>
      </w:r>
      <w:proofErr w:type="spellEnd"/>
      <w:r>
        <w:t>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9. Границы: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 xml:space="preserve">северная - по ЛЭП на северном берегу р. Оредеж, в 300 м от уреза воды, на восток до южной окраины пос. </w:t>
      </w:r>
      <w:proofErr w:type="spellStart"/>
      <w:r>
        <w:t>Горыни</w:t>
      </w:r>
      <w:proofErr w:type="spellEnd"/>
      <w:r>
        <w:t xml:space="preserve"> и далее по </w:t>
      </w:r>
      <w:proofErr w:type="spellStart"/>
      <w:r>
        <w:t>водоохранной</w:t>
      </w:r>
      <w:proofErr w:type="spellEnd"/>
      <w:r>
        <w:t xml:space="preserve"> зоне реки до оз. Пристанского;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восточная - от устья протоки из оз. Пристанского по руслу р. Оредеж и ложбине ближайшего к протоке безымянного суходола на правом борту долины по шоссе Луга - Ям-</w:t>
      </w:r>
      <w:proofErr w:type="spellStart"/>
      <w:r>
        <w:t>Тесово</w:t>
      </w:r>
      <w:proofErr w:type="spellEnd"/>
      <w:r>
        <w:t>, в месте развилки на пос. Любань и на пос. Ям-</w:t>
      </w:r>
      <w:proofErr w:type="spellStart"/>
      <w:r>
        <w:t>Тесово</w:t>
      </w:r>
      <w:proofErr w:type="spellEnd"/>
      <w:r>
        <w:t>;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 xml:space="preserve">южная - по шоссе от развилки на запад до восточной окраины дер. </w:t>
      </w:r>
      <w:proofErr w:type="spellStart"/>
      <w:r>
        <w:t>Моровино</w:t>
      </w:r>
      <w:proofErr w:type="spellEnd"/>
      <w:r>
        <w:t>;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 xml:space="preserve">западная - от восточной окраины дер. </w:t>
      </w:r>
      <w:proofErr w:type="spellStart"/>
      <w:r>
        <w:t>Моровино</w:t>
      </w:r>
      <w:proofErr w:type="spellEnd"/>
      <w:r>
        <w:t xml:space="preserve"> на север через долину р. Оредеж на ее правый борт до топографического репера с абсолютной отметкой 39,2 м.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10. Цель создания: охрана одного из опорных для Северо-Западного региона России выходов на дневную поверхность геологических пород девонского возраста и остатков старых штолен.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11. Краткое описание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 xml:space="preserve">В обрывистом склоне левого борта долины р. Оредеж на дневную поверхность выходят </w:t>
      </w:r>
      <w:proofErr w:type="spellStart"/>
      <w:r>
        <w:t>дочетвертичные</w:t>
      </w:r>
      <w:proofErr w:type="spellEnd"/>
      <w:r>
        <w:t xml:space="preserve"> отложения, представленные песчаниками </w:t>
      </w:r>
      <w:proofErr w:type="spellStart"/>
      <w:r>
        <w:t>старооскольского</w:t>
      </w:r>
      <w:proofErr w:type="spellEnd"/>
      <w:r>
        <w:t xml:space="preserve"> горизонта среднего девона и перекрывающими их базальными конгломератами, обогащенными остатками панцирных рыб, относящимися к </w:t>
      </w:r>
      <w:proofErr w:type="spellStart"/>
      <w:r>
        <w:t>швентойскому</w:t>
      </w:r>
      <w:proofErr w:type="spellEnd"/>
      <w:r>
        <w:t xml:space="preserve"> горизонту верхнедевонского времени.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 xml:space="preserve">Девонские отложения отмечаются фрагментами различной мощности, главным образом, в центральной части склона на протяжении примерно 250-300 м среди задерненных участков обрыва высотой около 20 м и оползней в нижней его части. Нижние границы видимых обнажений варьируют от 2 до 8 м, верхние - от 8 до 18 м над урезом воды. Максимальная видимая мощность выходов девонских пород на дневную поверхность - около 12 м (после расчистки), минимальная - 1 м (расчистка в нижней части осечки). В западной части обнажения в песчаниках существует лаз в штольню или пещеру, возникшую при разработке песчаников. Пещера находится на относительной высоте около 5,5 м над урезом воды в реке. Высота лаза - </w:t>
      </w:r>
      <w:r>
        <w:lastRenderedPageBreak/>
        <w:t>1,2-1,5 м, ширина около 0,8-1,0 м. Сразу у входа видна обрушившаяся, вероятно недавно, часть верхнего свода. Раньше штольня имела значительную протяженность, так как по словам местных жителей (запись 1977 г.), в войну 1941-1945 гг. в "пещере" укрывались партизаны.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Штольня имеет научный интерес, так как позволяет наблюдать древние отложения изнутри, в их коренном залегании. Посещение штольни опасно, поскольку осадочные породы, в которых она выработана, часто обрушиваются. За счет этого штольня как бы подымается кверху, к поверхности, и меняет свои параметры и профиль.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Высокие обрывистые склоны с выходами древних геологических пород придают особую живописность долине р. Оредеж в пределах памятника природы, который используется для проведения учебно-познавательных экскурсий учащихся.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12. Объекты, заслуживающие особой охраны: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обнажения девонских пород,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штольни.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13. Режим охраны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Запрещаются: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рубка леса,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все виды строительных, горных и мелиоративных работ,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прокладка любых видов коммуникаций,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отвод земель под любое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секторах,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захламление территории,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 xml:space="preserve">- добыча полезных ископаемых, а также проведение </w:t>
      </w:r>
      <w:proofErr w:type="spellStart"/>
      <w:r>
        <w:t>поисковооценочных</w:t>
      </w:r>
      <w:proofErr w:type="spellEnd"/>
      <w:r>
        <w:t xml:space="preserve"> и </w:t>
      </w:r>
      <w:proofErr w:type="gramStart"/>
      <w:r>
        <w:t>геолого-разведочных</w:t>
      </w:r>
      <w:proofErr w:type="gramEnd"/>
      <w:r>
        <w:t xml:space="preserve"> работ, выполняемых с нарушением недр.</w:t>
      </w:r>
    </w:p>
    <w:p w:rsidR="000A3FE9" w:rsidRDefault="000A3FE9" w:rsidP="000A3FE9">
      <w:pPr>
        <w:pStyle w:val="ConsPlusNormal"/>
        <w:jc w:val="both"/>
      </w:pPr>
      <w:r>
        <w:t xml:space="preserve">(абзац введен </w:t>
      </w:r>
      <w:hyperlink r:id="rId5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Разрешаются: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проведение научно-исследовательских работ,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проведение познавательных экскурсий для учащихся,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проведение всех видов рубок, разрешенных на данной особо охраняемой природной территории, в зимнее время по снегу,</w:t>
      </w:r>
    </w:p>
    <w:p w:rsidR="000A3FE9" w:rsidRDefault="000A3FE9" w:rsidP="000A3FE9">
      <w:pPr>
        <w:pStyle w:val="ConsPlusNormal"/>
        <w:jc w:val="both"/>
      </w:pPr>
      <w:r>
        <w:t xml:space="preserve">(абзац введен </w:t>
      </w:r>
      <w:hyperlink r:id="rId6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 xml:space="preserve">- проведение </w:t>
      </w:r>
      <w:proofErr w:type="spellStart"/>
      <w:r>
        <w:t>геоэкологических</w:t>
      </w:r>
      <w:proofErr w:type="spellEnd"/>
      <w: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области.</w:t>
      </w:r>
    </w:p>
    <w:p w:rsidR="000A3FE9" w:rsidRDefault="000A3FE9" w:rsidP="000A3FE9">
      <w:pPr>
        <w:pStyle w:val="ConsPlusNormal"/>
        <w:jc w:val="both"/>
      </w:pPr>
      <w:r>
        <w:t xml:space="preserve">(абзац введен </w:t>
      </w:r>
      <w:hyperlink r:id="rId7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Рекомендуемые мероприятия: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- обустройство входа в штольню для организации безопасных учебно-познавательных экскурсий студентов и школьников.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14. Охрану памятника природы осуществляет уполномоченный орган исполнительной власти Ленинградской области.</w:t>
      </w:r>
    </w:p>
    <w:p w:rsidR="000A3FE9" w:rsidRDefault="000A3FE9" w:rsidP="000A3FE9">
      <w:pPr>
        <w:pStyle w:val="ConsPlusNormal"/>
        <w:jc w:val="both"/>
      </w:pPr>
      <w:r>
        <w:t xml:space="preserve">(п. 14 в ред. </w:t>
      </w:r>
      <w:hyperlink r:id="rId8" w:tooltip="Постановление Правительства Ленинградской области от 18.03.2010 N 60 &quot;О внесении изменений в постановление Правительства Ленинградской области от 26 декабря 1996 года N 494 &quot;О приведении в соответствие с новым природоохранным законодательством Российской Федер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18.03.2010 N 60)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lastRenderedPageBreak/>
        <w:t>15. Перечень землепользователей: Ям-</w:t>
      </w:r>
      <w:proofErr w:type="spellStart"/>
      <w:r>
        <w:t>Тесовская</w:t>
      </w:r>
      <w:proofErr w:type="spellEnd"/>
      <w:r>
        <w:t xml:space="preserve"> волость, АОЗТ "Ям-</w:t>
      </w:r>
      <w:proofErr w:type="spellStart"/>
      <w:r>
        <w:t>Тесовское</w:t>
      </w:r>
      <w:proofErr w:type="spellEnd"/>
      <w:r>
        <w:t>", совхоз "</w:t>
      </w:r>
      <w:proofErr w:type="spellStart"/>
      <w:r>
        <w:t>Оредежский</w:t>
      </w:r>
      <w:proofErr w:type="spellEnd"/>
      <w:r>
        <w:t xml:space="preserve">", Приозерная волость, крестьянское хозяйство </w:t>
      </w:r>
      <w:proofErr w:type="spellStart"/>
      <w:r>
        <w:t>А.Ю.Алексеева</w:t>
      </w:r>
      <w:proofErr w:type="spellEnd"/>
      <w:r>
        <w:t>.</w:t>
      </w:r>
    </w:p>
    <w:p w:rsidR="000A3FE9" w:rsidRDefault="000A3FE9" w:rsidP="000A3FE9">
      <w:pPr>
        <w:pStyle w:val="ConsPlusNormal"/>
        <w:spacing w:before="200"/>
        <w:ind w:firstLine="540"/>
        <w:jc w:val="both"/>
      </w:pPr>
      <w:r>
        <w:t>16. Вносимые изменения.</w:t>
      </w:r>
    </w:p>
    <w:p w:rsidR="00004BBE" w:rsidRDefault="00004BBE" w:rsidP="000A3FE9">
      <w:pPr>
        <w:pStyle w:val="ConsPlusNormal"/>
        <w:ind w:firstLine="540"/>
        <w:jc w:val="both"/>
      </w:pPr>
    </w:p>
    <w:sectPr w:rsidR="00004BBE" w:rsidSect="00DD6C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54482B"/>
    <w:rsid w:val="00696B17"/>
    <w:rsid w:val="00BB3CFA"/>
    <w:rsid w:val="00C0610A"/>
    <w:rsid w:val="00D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97204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44782&amp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44782&amp;dst=100007" TargetMode="External"/><Relationship Id="rId5" Type="http://schemas.openxmlformats.org/officeDocument/2006/relationships/hyperlink" Target="https://login.consultant.ru/link/?req=doc&amp;base=SPB&amp;n=44782&amp;dst=1000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SPB&amp;n=172999&amp;dst=1000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7</cp:revision>
  <dcterms:created xsi:type="dcterms:W3CDTF">2024-06-06T10:19:00Z</dcterms:created>
  <dcterms:modified xsi:type="dcterms:W3CDTF">2024-06-07T07:59:00Z</dcterms:modified>
</cp:coreProperties>
</file>