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5" w:rsidRPr="005F1AA5" w:rsidRDefault="005F1AA5" w:rsidP="005F1AA5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УТВЕРЖДЕНО</w:t>
      </w:r>
    </w:p>
    <w:p w:rsidR="005F1AA5" w:rsidRPr="005F1AA5" w:rsidRDefault="005F1AA5" w:rsidP="005F1AA5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постановлением Правительства</w:t>
      </w:r>
    </w:p>
    <w:p w:rsidR="005F1AA5" w:rsidRPr="005F1AA5" w:rsidRDefault="005F1AA5" w:rsidP="005F1AA5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Ленинградской области</w:t>
      </w:r>
    </w:p>
    <w:p w:rsidR="005F1AA5" w:rsidRPr="005F1AA5" w:rsidRDefault="005F1AA5" w:rsidP="005F1AA5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от 15.10.2001 N 97</w:t>
      </w:r>
    </w:p>
    <w:p w:rsidR="005F1AA5" w:rsidRPr="005F1AA5" w:rsidRDefault="005F1AA5" w:rsidP="005F1AA5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(приложение 1)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</w:p>
    <w:p w:rsidR="005F1AA5" w:rsidRPr="005F1AA5" w:rsidRDefault="005F1AA5" w:rsidP="005F1AA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5F1AA5">
        <w:rPr>
          <w:rFonts w:ascii="Calibri" w:eastAsiaTheme="minorHAnsi" w:hAnsi="Calibri" w:cs="Calibri"/>
          <w:b/>
          <w:bCs/>
          <w:lang w:eastAsia="en-US"/>
        </w:rPr>
        <w:t>ПОЛОЖЕНИЕ</w:t>
      </w:r>
    </w:p>
    <w:p w:rsidR="005F1AA5" w:rsidRPr="005F1AA5" w:rsidRDefault="005F1AA5" w:rsidP="005F1AA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5F1AA5">
        <w:rPr>
          <w:rFonts w:ascii="Calibri" w:eastAsiaTheme="minorHAnsi" w:hAnsi="Calibri" w:cs="Calibri"/>
          <w:b/>
          <w:bCs/>
          <w:lang w:eastAsia="en-US"/>
        </w:rPr>
        <w:t>О ГОСУДАРСТВЕННОМ ПРИРОДНОМ КОМПЛЕКСНОМ</w:t>
      </w:r>
    </w:p>
    <w:p w:rsidR="005F1AA5" w:rsidRPr="005F1AA5" w:rsidRDefault="005F1AA5" w:rsidP="005F1AA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5F1AA5">
        <w:rPr>
          <w:rFonts w:ascii="Calibri" w:eastAsiaTheme="minorHAnsi" w:hAnsi="Calibri" w:cs="Calibri"/>
          <w:b/>
          <w:bCs/>
          <w:lang w:eastAsia="en-US"/>
        </w:rPr>
        <w:t>ЗАКАЗНИКЕ "ШАЛОВО-ПЕРЕЧИЦКИЙ"</w:t>
      </w:r>
    </w:p>
    <w:p w:rsidR="005F1AA5" w:rsidRPr="005F1AA5" w:rsidRDefault="005F1AA5" w:rsidP="005F1AA5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bookmarkStart w:id="0" w:name="_GoBack"/>
      <w:bookmarkEnd w:id="0"/>
    </w:p>
    <w:p w:rsidR="005F1AA5" w:rsidRPr="005F1AA5" w:rsidRDefault="005F1AA5" w:rsidP="005F1AA5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N 33-ФЗ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"Об особо охраняемых природных территориях" и от 24 апреля 1995 года </w:t>
      </w:r>
      <w:hyperlink r:id="rId5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N 52-ФЗ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"О животном мире", </w:t>
      </w:r>
      <w:hyperlink r:id="rId6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2. Государственный природный комплексный заказник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Шалово-Перечицкий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" (далее - заказник) организован </w:t>
      </w:r>
      <w:hyperlink r:id="rId7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3. Заказник является особо охраняемой природной территорией Ленинградской области регионального значения.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4. Заказник расположен в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Лужском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районе Ленинградской области, к востоку от города Луги в излучине реки Луги и междуречье рек Луга и Оредеж в районе их слияния.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5. Профиль заказника - комплексный.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6. Цели организации заказника: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сохранение ландшафта среднего течения реки Луги с ледниковыми и водно-ледниковыми формами рельефа;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охрана сосновых лесов с редкими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южноборовыми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видами сосудистых растений;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охрана широколиственных лесов и лесов с участием широколиственных пород;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охрана пойменных участков рек Луга, Оредеж и Переволока;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охрана мест произрастания редких видов растений и грибов;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охрана редких видов почв, растений, грибов и животных;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сохранение биологического разнообразия.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7. Особо охраняемые природные объекты: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камовые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холмы (характерные формы ледникового и водно-ледникового рельефа в среднем течении реки Луги);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сосновые леса с редкими видами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южноборовых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сосудистых растений;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>склоны коренных берегов реки Луги и овраги, покрытые лесами с участием широколиственных пород, включающими участки вязовых, липовых и дубовых лесов;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среднее течение реки Луги (часть миграционного пути ценного промыслового вида рыб - лосося и занесенного в Красную книгу природы Ленинградской области вида рыб - кумжи);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поймы рек Луга, Оредеж и Переволока, озера-старицы, сырые пойменные луга с богатым комплексом водных и околоводных птиц и местами зимовки позвоночных животных;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места произрастания редких видов растений и грибов;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редкие виды почв, растений, грибов и животных.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8. Площадь заказника - 5942,8 гектара.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9. Границы заказника: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северная граница: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от границы земельного участка трассы М20 общим направлением на восток по северным границам кварталов 1 и 2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лесничества, далее по восточной границе квартала 8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лесной дороги, следующей от трассы М20 в деревню Большие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далее по лесной дороге на юго-запад до земляного вала, пересекающего кварталы 9 и 10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бровке земляного вала на восток до западной границы квартала 11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западной границе на юг до автодороги, связывающей деревни Большие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 Новые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далее по автодороге до деревни Большие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огибая деревню и примыкающую к ней территорию оздоровительного лагеря "Советская звезда" с севера, запада и юга до северной границы квартала 14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северной границе квартала 14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на северо-запад до линии электропередачи, проходящей между деревней Большие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 поселком Плоское, по линии электропередачи на северо-восток через пойму реки Луги до границы земель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Толмачевского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лесничества, далее на восток по южной границе квартала 152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Толмачевского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южной границе поселка Плоское, южной границе кварталов 153 и 154, восточной границе квартала 154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Толмачевского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автодороги, следующей от поселка Плоское в деревню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Перечицы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по автодороге на восток до пересечения с линией электропередачи, далее по линии электропередачи, пересекая пойму реки Оредеж на юго-восток до северо-восточного угла квартала 15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восточная граница: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общим направлением на юг по восточной границе квартала 15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50-метровой зоны от уреза воды озера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Ленцево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по границе 50-метровой зоны от уреза воды озера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Ленцево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границам кварталов 22-24 и 28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грунтовой дороги, следующей от деревни Большие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Изори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к базе отдыха завода "Азимут - Электроприбор", огибая территорию базы отдыха с севера и запада, до правого берега реки Луги, далее по правому берегу реки Луги на юг до границы квартала 105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далее по границам кварталов 105, 119-121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линии электропередачи, по линии электропередачи через ручей Переволока на юг до грунтовой дороги, по грунтовой дороге на запад до восточной границы квартала 136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восточной границе квартала 136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южной границы квартала 136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южная граница: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 xml:space="preserve">общим направлением на запад по южной границе квартала 136, восточной и южной границам квартала 135, восточной границе квартала 134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южной границы квартала 134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южным границам кварталов 134 и 133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включая земли сельскохозяйственного назначения, принадлежащие акционерному обществу закрытого типа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", по южным границам кварталов 144-147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границы земельного отвода объездной дороги города Луги;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западная граница: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общим направлением на север по восточной границе земельного отвода объездной дороги города Луги до реки Луги, по левому берегу реки Луги до границы общества с ограниченной ответственностью "Изумруд", огибая территорию общества с ограниченной ответственностью "Изумруд" и поселка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Шалово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с севера, до границы квартала 111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границе квартала 110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 границе кварталов 110 и 109, южной границе квартала 109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до земельного участка объездной дороги города Луги, далее по восточной границе земельного участка объездной дороги до земельного участка трассы М20 и далее по границе земельного участка трассы М20, исключая территорию деревни Новые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к исходной точке.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компетенции.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11. Для регулирования хозяйственной деятельности в границах заказника вводится режим особой охраны.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12. В границах заказника выполнено функциональное зонирование с выделением земельных участков с особым правовым режимом, в том числе: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земельные участки общей площадью 2278,9 гектара, включающие особо ценные природные комплексы и объекты (ОЦ), на которых запрещается любая хозяйственная деятельность, не связанная с сохранением и изучением природных комплексов и объектов: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ОЦ-1 площадью 107,9 гектара - включает кварталы 2 и 8, часть кварталов 9 и 10, территорию зарастающего карьера в кварталах 48 и 49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ОЦ-2 площадью 27,7 гектара - включает квартал 90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ОЦ-3 площадью 2102,9 гектара - включает кварталы 15-28, 50, 51, 53-56, 83, 84, часть кварталов 100-103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поймы рек Луга, Оредеж, Переволока,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ОЦ-4 площадью 40,4 гектара - включает кварталы 146 и 147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земельные участки интенсивного природопользования (ИП) общей площадью 382,8 гектара, на которых вводятся минимальные ограничения хозяйственной деятельности: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ИП-1 площадью 37,3 гектара - включает кварталы 131, 143 и 144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 в границах земельного участка линии электропередачи 110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кВ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>участок ИП-2 площадью 345,5 гектара - включает земельные участки карьера по добыче формовочных песков, автодорог и пульпопровода открытого акционерного общества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Лужский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ГОК", земельные участки действующих линейных объектов (газопровод Дружная Горка - Луга, три линии электропередачи 110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кВ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линия электропередачи 35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кВ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), выделяемые земельные участки под проектируемые линейные объекты в кварталах 1, 6, 7, 44, 45, 68, 69, 87, 88, 108 и 109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в том числе под линию электропередачи 330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кВ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города Луги, а также понижающую подстанцию, линию электропередачи 110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кВ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 соединительную волоконно-оптическую линию связи нефтепровода Балтийской трубопроводной системы (далее - БТС-2), проектируемых на основании распоряжения Правительства Российской Федерации от 26 ноября 2008 года N 1754-р;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земельные участки рекреационного назначения (Р) общей площадью 541,4 гектара для осуществления регламентированной рекреации: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Р-1 площадью 13,8 гектара - включает территории кварталов 108 и 109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ограниченные с севера ручьем Глубокий, с востока, юга и запада - границей заказника,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участок Р-2 площадью 143,9 гектара - включает земли акционерного общества закрытого типа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", расположенные между кварталами 110 и 111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кварталы 89, 90, 110 и 111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лесничеств, за исключением части квартала 90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 отнесенного к зоне особо ценных природных комплексов и объектов ОЦ-2,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Р-3 площадью 75,1 гектара - включает территорию, ограниченную с севера грунтовой дорогой от трассы М20 к деревне Средние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с востока - восточной и южной границами деревни Средние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 автодорогой Средние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-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Шалово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с юга автодорогой открытого акционерного общества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Лужский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ГОК", с запада - западной границей квартала 47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лесничества. В пределах участка расположены деревня Средние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Крупели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дачный поселок, центр отдыха "Аврора", молодежный оздоровительный комплекс "Виктория",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Р-4 площадью 268,9 гектара - включает кварталы 132 и 133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участок Р-5 площадью 39,7 гектара - включает квартал 52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участкового лесничества;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земельные участки с экстенсивным природопользованием общей площадью 2739,7 гектара, которые являются охранными зонами особо ценных природных комплексов и объектов или служат для развития инфраструктуры заказника и обеспечения его функционирования: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участки, не отнесенные настоящим Положением к зонам иного функционального назначения.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13. В целях защиты природных комплексов и объектов от неблагоприятного антропогенного воздействия в границах заказника вводится специальный режим ограниченного хозяйственного пользования с учетом функционального зонирования территории: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 пределах земельных участков, включающих особо ценные природные комплексы и объекты, на которых запрещается любая хозяйственная деятельность, не связанная с сохранением и изучением природных комплексов и объектов: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запрещается: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проведение всех видов рубок, за исключением проведения по согласованию с уполномоченным органом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</w:t>
      </w:r>
      <w:r w:rsidRPr="005F1AA5">
        <w:rPr>
          <w:rFonts w:ascii="Calibri" w:eastAsiaTheme="minorHAnsi" w:hAnsi="Calibri" w:cs="Calibri"/>
          <w:bCs/>
          <w:lang w:eastAsia="en-US"/>
        </w:rPr>
        <w:lastRenderedPageBreak/>
        <w:t xml:space="preserve">устройство противопожарных минерализованных полос), рубок с целью осуществления работ, предусмотренных </w:t>
      </w:r>
      <w:hyperlink w:anchor="Par89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абзацем двадцать пятым пункта 13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лесовосстановление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путем создания лесных культур,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обработка лесов и акваторий ядохимикатами,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ведение всех видов земляных, гидротехнических и строительных работ, кроме проводимых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эксплуатации, ремонта и реконструкции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жилищного и дачного строительства, кроме земель населенных пунктов,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перепрофилирование сложившихся направлений хозяйственно-производственной деятельности землепользователей,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добыча полезных ископаемых,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взрывные работы,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гидромелиоративные работы,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сенокошение, кроме пойменных лугов рек Луга, Оредеж и Переволока,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проезд автомототранспорта и тяжелой техники вне дорог общего пользования, за исключением автотранспорта, осуществляющего работы, предусмотренные </w:t>
      </w:r>
      <w:hyperlink w:anchor="Par88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абзацами двадцать четвертым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и </w:t>
      </w:r>
      <w:hyperlink w:anchor="Par89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двадцать пятым пункта 13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>,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стоянка автотранспорта вне специально отведенных мест,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устройство вне специально отведенных мест бивуаков, костров, пуск палов,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устройство свалок, загрязнение территории и акватории бытовыми и промышленными отходами, сброс сточных вод,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промышленные рыбоводство и лов рыбы,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ведение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охотхозяйственной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деятельности, кроме организации воспроизводственного участка,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пользование объектами животного мира, отнесенными в установленном порядке к редким и находящимся под угрозой исчезновения,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сбор зоологических и ботанических коллекций,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разрешается: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bookmarkStart w:id="1" w:name="Par88"/>
      <w:bookmarkEnd w:id="1"/>
      <w:r w:rsidRPr="005F1AA5">
        <w:rPr>
          <w:rFonts w:ascii="Calibri" w:eastAsiaTheme="minorHAnsi" w:hAnsi="Calibri" w:cs="Calibri"/>
          <w:bCs/>
          <w:lang w:eastAsia="en-US"/>
        </w:rPr>
        <w:t xml:space="preserve">проведение по согласованию с уполномоченным органом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рубок с целью осуществления работ, предусмотренных </w:t>
      </w:r>
      <w:hyperlink w:anchor="Par89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абзацем двадцать пятым пункта 13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bookmarkStart w:id="2" w:name="Par89"/>
      <w:bookmarkEnd w:id="2"/>
      <w:r w:rsidRPr="005F1AA5">
        <w:rPr>
          <w:rFonts w:ascii="Calibri" w:eastAsiaTheme="minorHAnsi" w:hAnsi="Calibri" w:cs="Calibri"/>
          <w:bCs/>
          <w:lang w:eastAsia="en-US"/>
        </w:rPr>
        <w:t>проведение земляных, гидротехнических и строительных работ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 и ремонта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организация воспроизводственного участка в целях ведения охотничьего хозяйства,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сенокошение на пойменных лугах рек Луга, Оредеж и Переволока,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сбор грибов и ягод для личного потребления,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любительское рыболовство в соответствии с Правилами любительского рыболовства,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8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17.08.2020 N 583)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обустройство экологических троп и рекреационных стоянок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геоэкологические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исследования,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проводящиеся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без существенного нарушения недр (отбор проб почв, донных осадков, грунтовых и поверхностных вод и прочее),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научно-исследовательских работ по согласованию с уполномоченным органом;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 пределах земельных участков интенсивного природопользования, на которых вводятся минимальные ограничения хозяйственной деятельности: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запрещается: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рубок спелых и перестойных насаждений,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обработка лесов ядохимикатами,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формирование и предоставление земельных участков под разработку месторождений полезных ископаемых, строительство промышленных объектов и сооружений, кроме предоставления земельных участков под прокладку коммуникаций и систем жизнеобеспечения существующих населенных пунктов с учетом их развития, под строительство, эксплуатацию, реконструкцию и ремонт линейных объектов (в том числе под электроснабжение города Луги и </w:t>
      </w:r>
      <w:r w:rsidRPr="005F1AA5">
        <w:rPr>
          <w:rFonts w:ascii="Calibri" w:eastAsiaTheme="minorHAnsi" w:hAnsi="Calibri" w:cs="Calibri"/>
          <w:bCs/>
          <w:lang w:eastAsia="en-US"/>
        </w:rPr>
        <w:lastRenderedPageBreak/>
        <w:t>нефтепровода БТС-2, соединительную волоконно-оптическую линию связи нефтепровода БТС-2 и понижающую подстанцию) при условии проведения природоохранных мероприятий по снижению негативного воздействия работ на природные объекты и комплексы на основании проекта, получившего положительное заключение государственной экологической экспертизы (в случае 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9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организацию садоводств, огородничеств, жилищного и дачного строительства,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перепрофилирование сложившихся направлений хозяйственно-производственной деятельности землепользователей,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добыча полезных ископаемых, за исключением добычи песков в границах горного отвода открытого акционерного общества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Лужский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ГОК",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взрывные работы,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устройство свалок, загрязнение территории и акватории бытовыми и промышленными отходами, сброс сточных вод,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охота и ведение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охотхозяйственной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деятельности, кроме организации воспроизводственного участка,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пользование объектами животного мира, отнесенными в установленном порядке к редким и находящимся под угрозой исчезновения;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разрешается: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прокладку коммуникаций и систем жизнеобеспечения существующих населенных пунктов с учетом их развития, под строительство, эксплуатацию, реконструкцию и ремонт линейных объектов (в том числе под электроснабжение города Луги и нефтепровода БТС-2, соединительную волоконно-оптическую линию связи нефтепровода БТС-2 и понижающую подстанцию) при условии проведения природоохранных мероприятий по снижению негативного воздействия строительных работ на природные комплексы и объекты на основании проекта, получившего положительное заключение государственной экологической экспертизы (в случае 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0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добыча полезных ископаемых в границах горного отвода открытого акционерного общества "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Лужский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ГОК",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организация воспроизводственного участка в целях ведения охотничьего хозяйства,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геоэкологические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исследования,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проводящиеся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без существенного нарушения недр (отбор проб почв, донных осадков, грунтовых и поверхностных вод и прочее), по согласованию с уполномоченным органом;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 пределах участков рекреационного назначения: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запрещается: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 xml:space="preserve">проведение всех видов рубок, кроме проведения по согласованию с уполномоченным органом санитарно-оздоровительных мероприятий, прочих рубок с целью создания лесной инфраструктуры, рубок ухода за лесами, проводимых при условии 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обработка лесов и акваторий ядохимикатами,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жилищного и дачного строительства, кроме земель населенных пунктов,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все виды земляных, гидротехнических и строительных работ, кроме проводимых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эксплуатации, ремонта и реконструкции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перепрофилирование сложившихся направлений хозяйственно-производственной деятельности землепользователей,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взрывные работы,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добыча полезных ископаемых,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устройство свалок, загрязнение территории и акватории бытовыми и промышленными отходами, сброс сточных вод,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промышленные рыбоводство и лов рыбы,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охота и ведение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охотхозяйственной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деятельности, кроме организации воспроизводственного участка,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пользование объектами животного мира, отнесенными в установленном порядке к редким и находящимся под угрозой исчезновения,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разрешается: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проведение по согласованию с уполномоченным органом санитарно-оздоровительных мероприятий, прочих рубок с целью создания лесной инфраструктуры, рубок ухода за лесами, проводимых при условии 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санитарно-гигиенические, оздоровительные и </w:t>
      </w:r>
      <w:r w:rsidRPr="005F1AA5">
        <w:rPr>
          <w:rFonts w:ascii="Calibri" w:eastAsiaTheme="minorHAnsi" w:hAnsi="Calibri" w:cs="Calibri"/>
          <w:bCs/>
          <w:lang w:eastAsia="en-US"/>
        </w:rPr>
        <w:lastRenderedPageBreak/>
        <w:t>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развитие инфраструктуры территории заказника (строительство эколого-просветительских центров, административных и рекреационных баз и прочее) в целях обеспечения его функционирования и развития рекреации на основании проекта, получившего положительное заключение государственной экологической экспертизы (в случае 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1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прокладку коммуникаций и систем жизнеобеспечения существующих населенных пунктов с учетом их развития на основании проекта, получившего положительное заключение государственной экологической экспертизы (в случае 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2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земляных, гидротехнических и строительных работ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эксплуатации, ремонта и реконструкции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регламентированная рекреация, обустройство экологических троп и рекреационных стоянок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организация воспроизводственного участка в целях ведения охотничьего хозяйства,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сбор грибов и ягод для личного потребления,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любительское рыболовство в соответствии с Правилами любительского рыболовства,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3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17.08.2020 N 583)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геоэкологические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исследования,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проводящиеся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без существенного нарушения недр (отбор проб почв, донных осадков, грунтовых и поверхностных вод и прочее), по согласованию с уполномоченным органом;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в пределах участков с экстенсивным природопользованием, которые являются охранными зонами особо ценных природных комплексов и объектов или служат для развития инфраструктуры заказника и обеспечения его функционирования: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запрещается: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проведение по согласованию с уполномоченным органом всех видов рубок, кроме проведения санитарно-оздоровительных мероприятий, рубок ухода за лесами, прочих рубок с целью создания лесной инфраструктуры и с целью обеспечения эксплуатации, ремонта существующих линейных сооружений и коммуникаций, проводимых при условии 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r w:rsidRPr="005F1AA5">
        <w:rPr>
          <w:rFonts w:ascii="Calibri" w:eastAsiaTheme="minorHAnsi" w:hAnsi="Calibri" w:cs="Calibri"/>
          <w:bCs/>
          <w:lang w:eastAsia="en-US"/>
        </w:rPr>
        <w:lastRenderedPageBreak/>
        <w:t>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обработка лесов ядохимикатами,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жилищного и дачного строительства, кроме земель населенных пунктов,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всех видов земляных, гидротехнических и строительных работ, кроме проводимых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 и ремонта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перепрофилирование сложившихся направлений хозяйственно-производственной деятельности землепользователей,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устройство свалок, загрязнение территории бытовыми и промышленными отходами, сброс сточных вод,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охота и ведение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охотхозяйственной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деятельности, кроме организации воспроизводственного участка,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пользование объектами животного мира, отнесенными в установленном порядке к редким и находящимся под угрозой исчезновения,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разрешается: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проведение по согласованию с уполномоченным органом санитарно-оздоровительных мероприятий, рубок ухода за лесами, прочих рубок с целью создания лесной инфраструктуры и с целью обеспечения эксплуатации, ремонта и реконструкции существующих линейных сооружений и коммуникаций, проводимых при условии 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лесах;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средообразующие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формирование и предоставление земельных участков под развитие инфраструктуры заказника в целях обеспечения его функционирования на основании проекта, получившего положительное заключение государственной экологической экспертизы (в случае 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4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формирование и предоставление земельных участков под прокладку коммуникаций и систем жизнеобеспечения существующих населенных пунктов с учетом их развития на основании проекта, получившего положительное заключение государственной экологической экспертизы (в случае </w:t>
      </w:r>
      <w:r w:rsidRPr="005F1AA5">
        <w:rPr>
          <w:rFonts w:ascii="Calibri" w:eastAsiaTheme="minorHAnsi" w:hAnsi="Calibri" w:cs="Calibri"/>
          <w:bCs/>
          <w:lang w:eastAsia="en-US"/>
        </w:rPr>
        <w:lastRenderedPageBreak/>
        <w:t>если проведение государственной экологической экспертизы предусмотрено действующим законодательством),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(в ред. </w:t>
      </w:r>
      <w:hyperlink r:id="rId15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25.03.2015 N 78)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земляных, гидротехнических и строительных работ с целью обеспечения сохранения, восстановления и воспроизводства природных комплексов и объектов, осуществления мер пожарной безопасности в лесах, эксплуатации, ремонта и реконструкции существующих линейных сооружений и коммуникаций, строительства объектов инфраструктуры заказника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регламентированная рекреация, обустройство экологических троп и рекреационных стоянок на основании проекта, получившего положительное заключение государственной экологической экспертизы, и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организация воспроизводственного участка в целях ведения охотничьего хозяйства,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сбор грибов и ягод для личного потребления,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геоэкологические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исследования,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проводящиеся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без существенного нарушения недр (отбор проб почв, донных осадков, грунтовых и поверхностных вод и прочее), по согласованию с уполномоченным органом.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14. В пределах заказника рекомендуется: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осуществление лесовосстановительных работ (преимущественно методами естественного заращивания);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разработка проектов обустройства рекреационных зон, экологических троп и маршрутов;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ликвидация свалок;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установка аншлагов и информационных щитов;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организация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охотпользователями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на территории заказника воспроизводственных участков и внесение соответствующих изменений в </w:t>
      </w:r>
      <w:proofErr w:type="spellStart"/>
      <w:r w:rsidRPr="005F1AA5">
        <w:rPr>
          <w:rFonts w:ascii="Calibri" w:eastAsiaTheme="minorHAnsi" w:hAnsi="Calibri" w:cs="Calibri"/>
          <w:bCs/>
          <w:lang w:eastAsia="en-US"/>
        </w:rPr>
        <w:t>охотустроительную</w:t>
      </w:r>
      <w:proofErr w:type="spellEnd"/>
      <w:r w:rsidRPr="005F1AA5">
        <w:rPr>
          <w:rFonts w:ascii="Calibri" w:eastAsiaTheme="minorHAnsi" w:hAnsi="Calibri" w:cs="Calibri"/>
          <w:bCs/>
          <w:lang w:eastAsia="en-US"/>
        </w:rPr>
        <w:t xml:space="preserve"> документацию;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научных исследований и мониторинга состояния природных комплексов и объектов, а также гидрологического и гидрохимического режима реки Луги;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проведение кадастровой съемки границ заказника;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завершение регистрации земельных участков землепользователями.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15. Объявление территории заказником не влечет изъятия земельных участков и акватории у собственников земли, землевладельцев, землепользователей и арендаторов.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 xml:space="preserve">16. Утратил силу. - </w:t>
      </w:r>
      <w:hyperlink r:id="rId16" w:history="1">
        <w:r w:rsidRPr="005F1AA5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</w:t>
        </w:r>
      </w:hyperlink>
      <w:r w:rsidRPr="005F1AA5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06.05.2016 N 138.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17.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lastRenderedPageBreak/>
        <w:t>18. Физические и юридические лица, виновные в нарушении установленного на территории заказника режима особой охраны, привлекаются к ответственности в соответствии с действующим законодательством.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19. Режим особой охраны заказника и его границы в обязательном порядке учитываются при разработке градостроительной документации, проектов землеустройства и лесоустройства, природоохранной и иной проектной документации.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20.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21. Охрана заказника осуществляется уполномоченным органом и(или) специально созданным для этой цели структурным подразделением, наделенным соответствующими полномочиями.</w:t>
      </w:r>
    </w:p>
    <w:p w:rsidR="005F1AA5" w:rsidRPr="005F1AA5" w:rsidRDefault="005F1AA5" w:rsidP="005F1AA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5F1AA5">
        <w:rPr>
          <w:rFonts w:ascii="Calibri" w:eastAsiaTheme="minorHAnsi" w:hAnsi="Calibri" w:cs="Calibri"/>
          <w:bCs/>
          <w:lang w:eastAsia="en-US"/>
        </w:rPr>
        <w:t>22.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</w:p>
    <w:p w:rsidR="005F1AA5" w:rsidRPr="005F1AA5" w:rsidRDefault="005F1AA5" w:rsidP="005F1A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</w:p>
    <w:p w:rsidR="00004BBE" w:rsidRPr="005F1AA5" w:rsidRDefault="00004BBE" w:rsidP="002406A2"/>
    <w:sectPr w:rsidR="00004BBE" w:rsidRPr="005F1AA5" w:rsidSect="00DB55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3450F0"/>
    <w:rsid w:val="0054482B"/>
    <w:rsid w:val="005F1AA5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9972&amp;dst=100014" TargetMode="External"/><Relationship Id="rId13" Type="http://schemas.openxmlformats.org/officeDocument/2006/relationships/hyperlink" Target="https://login.consultant.ru/link/?req=doc&amp;base=SPB&amp;n=229972&amp;dst=10001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158" TargetMode="External"/><Relationship Id="rId12" Type="http://schemas.openxmlformats.org/officeDocument/2006/relationships/hyperlink" Target="https://login.consultant.ru/link/?req=doc&amp;base=SPB&amp;n=158569&amp;dst=1000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72999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" TargetMode="External"/><Relationship Id="rId11" Type="http://schemas.openxmlformats.org/officeDocument/2006/relationships/hyperlink" Target="https://login.consultant.ru/link/?req=doc&amp;base=SPB&amp;n=158569&amp;dst=100009" TargetMode="External"/><Relationship Id="rId5" Type="http://schemas.openxmlformats.org/officeDocument/2006/relationships/hyperlink" Target="https://login.consultant.ru/link/?req=doc&amp;base=LAW&amp;n=449591" TargetMode="External"/><Relationship Id="rId15" Type="http://schemas.openxmlformats.org/officeDocument/2006/relationships/hyperlink" Target="https://login.consultant.ru/link/?req=doc&amp;base=SPB&amp;n=158569&amp;dst=100010" TargetMode="External"/><Relationship Id="rId10" Type="http://schemas.openxmlformats.org/officeDocument/2006/relationships/hyperlink" Target="https://login.consultant.ru/link/?req=doc&amp;base=SPB&amp;n=158569&amp;dst=100008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158569&amp;dst=100007" TargetMode="External"/><Relationship Id="rId14" Type="http://schemas.openxmlformats.org/officeDocument/2006/relationships/hyperlink" Target="https://login.consultant.ru/link/?req=doc&amp;base=SPB&amp;n=15856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5030</Words>
  <Characters>28673</Characters>
  <Application>Microsoft Office Word</Application>
  <DocSecurity>0</DocSecurity>
  <Lines>238</Lines>
  <Paragraphs>67</Paragraphs>
  <ScaleCrop>false</ScaleCrop>
  <Company/>
  <LinksUpToDate>false</LinksUpToDate>
  <CharactersWithSpaces>33636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25</cp:revision>
  <dcterms:created xsi:type="dcterms:W3CDTF">2024-06-06T10:19:00Z</dcterms:created>
  <dcterms:modified xsi:type="dcterms:W3CDTF">2024-06-17T07:57:00Z</dcterms:modified>
</cp:coreProperties>
</file>