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07.05.2019 N 199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ПРИРОДНОМ ПАРКЕ "ТОКСОВСКИЙ"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sz w:val="20"/>
          <w:szCs w:val="20"/>
        </w:rPr>
        <w:t xml:space="preserve"> "Об особо охраняемых природных территориях", от 10 января 2002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>
        <w:rPr>
          <w:rFonts w:ascii="Arial" w:hAnsi="Arial" w:cs="Arial"/>
          <w:sz w:val="20"/>
          <w:szCs w:val="20"/>
        </w:rPr>
        <w:t xml:space="preserve"> "Об охране окружающей среды".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Природный парк "</w:t>
      </w:r>
      <w:proofErr w:type="spellStart"/>
      <w:r>
        <w:rPr>
          <w:rFonts w:ascii="Arial" w:hAnsi="Arial" w:cs="Arial"/>
          <w:sz w:val="20"/>
          <w:szCs w:val="20"/>
        </w:rPr>
        <w:t>Токсовский</w:t>
      </w:r>
      <w:proofErr w:type="spellEnd"/>
      <w:r>
        <w:rPr>
          <w:rFonts w:ascii="Arial" w:hAnsi="Arial" w:cs="Arial"/>
          <w:sz w:val="20"/>
          <w:szCs w:val="20"/>
        </w:rPr>
        <w:t>" (далее - Природный парк) является особо охраняемой природной территорией регионального значения (далее также - ООПТ).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ООПТ - природный парк "</w:t>
      </w:r>
      <w:proofErr w:type="spellStart"/>
      <w:r>
        <w:rPr>
          <w:rFonts w:ascii="Arial" w:hAnsi="Arial" w:cs="Arial"/>
          <w:sz w:val="20"/>
          <w:szCs w:val="20"/>
        </w:rPr>
        <w:t>Токсовский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Объявление территории природным парком "</w:t>
      </w:r>
      <w:proofErr w:type="spellStart"/>
      <w:r>
        <w:rPr>
          <w:rFonts w:ascii="Arial" w:hAnsi="Arial" w:cs="Arial"/>
          <w:sz w:val="20"/>
          <w:szCs w:val="20"/>
        </w:rPr>
        <w:t>Токсовский</w:t>
      </w:r>
      <w:proofErr w:type="spellEnd"/>
      <w:r>
        <w:rPr>
          <w:rFonts w:ascii="Arial" w:hAnsi="Arial" w:cs="Arial"/>
          <w:sz w:val="20"/>
          <w:szCs w:val="20"/>
        </w:rPr>
        <w:t>" осуществлено без изъятия земельных участков у их пользователей, владельцев и собственников.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Цели и задачи создания ООПТ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ООПТ создана в целях сохранения природных комплексов участка </w:t>
      </w:r>
      <w:proofErr w:type="spellStart"/>
      <w:r>
        <w:rPr>
          <w:rFonts w:ascii="Arial" w:hAnsi="Arial" w:cs="Arial"/>
          <w:sz w:val="20"/>
          <w:szCs w:val="20"/>
        </w:rPr>
        <w:t>Токсовской</w:t>
      </w:r>
      <w:proofErr w:type="spellEnd"/>
      <w:r>
        <w:rPr>
          <w:rFonts w:ascii="Arial" w:hAnsi="Arial" w:cs="Arial"/>
          <w:sz w:val="20"/>
          <w:szCs w:val="20"/>
        </w:rPr>
        <w:t xml:space="preserve"> возвышенности.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Задачами создания ООПТ являются: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редких и ценных природных комплексов;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рекреационного потенциала территории;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биологического разнообразия на территории Ленинградской области.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границах ООПТ особой охране подлежат: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комплексы крутосклонных </w:t>
      </w:r>
      <w:proofErr w:type="spellStart"/>
      <w:r>
        <w:rPr>
          <w:rFonts w:ascii="Arial" w:hAnsi="Arial" w:cs="Arial"/>
          <w:sz w:val="20"/>
          <w:szCs w:val="20"/>
        </w:rPr>
        <w:t>камовых</w:t>
      </w:r>
      <w:proofErr w:type="spellEnd"/>
      <w:r>
        <w:rPr>
          <w:rFonts w:ascii="Arial" w:hAnsi="Arial" w:cs="Arial"/>
          <w:sz w:val="20"/>
          <w:szCs w:val="20"/>
        </w:rPr>
        <w:t xml:space="preserve"> холмов, наиболее высоких и расчлененных в южной части Карельского перешейка, и </w:t>
      </w:r>
      <w:proofErr w:type="spellStart"/>
      <w:r>
        <w:rPr>
          <w:rFonts w:ascii="Arial" w:hAnsi="Arial" w:cs="Arial"/>
          <w:sz w:val="20"/>
          <w:szCs w:val="20"/>
        </w:rPr>
        <w:t>межкамовых</w:t>
      </w:r>
      <w:proofErr w:type="spellEnd"/>
      <w:r>
        <w:rPr>
          <w:rFonts w:ascii="Arial" w:hAnsi="Arial" w:cs="Arial"/>
          <w:sz w:val="20"/>
          <w:szCs w:val="20"/>
        </w:rPr>
        <w:t xml:space="preserve"> котловин термокарстового происхождения;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неосушенные болотные массивы различного типа (верховые, переходные, низинные);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озера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спелые еловые и елово-мелколиственные леса разных типов, в том числе с участием широколиственных пород и неморальными элементами в травяном покрове;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сосняки с участием широколиственных пород (дуб, клен) и лещиной;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участки елово-сосновых </w:t>
      </w:r>
      <w:proofErr w:type="spellStart"/>
      <w:r>
        <w:rPr>
          <w:rFonts w:ascii="Arial" w:hAnsi="Arial" w:cs="Arial"/>
          <w:sz w:val="20"/>
          <w:szCs w:val="20"/>
        </w:rPr>
        <w:t>старовозрастных</w:t>
      </w:r>
      <w:proofErr w:type="spellEnd"/>
      <w:r>
        <w:rPr>
          <w:rFonts w:ascii="Arial" w:hAnsi="Arial" w:cs="Arial"/>
          <w:sz w:val="20"/>
          <w:szCs w:val="20"/>
        </w:rPr>
        <w:t xml:space="preserve"> лесов (более 200 лет) на </w:t>
      </w:r>
      <w:proofErr w:type="spellStart"/>
      <w:r>
        <w:rPr>
          <w:rFonts w:ascii="Arial" w:hAnsi="Arial" w:cs="Arial"/>
          <w:sz w:val="20"/>
          <w:szCs w:val="20"/>
        </w:rPr>
        <w:t>глубокоосушенных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межкамовых</w:t>
      </w:r>
      <w:proofErr w:type="spellEnd"/>
      <w:r>
        <w:rPr>
          <w:rFonts w:ascii="Arial" w:hAnsi="Arial" w:cs="Arial"/>
          <w:sz w:val="20"/>
          <w:szCs w:val="20"/>
        </w:rPr>
        <w:t xml:space="preserve"> торфяниках;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черноольшаники</w:t>
      </w:r>
      <w:proofErr w:type="spellEnd"/>
      <w:r>
        <w:rPr>
          <w:rFonts w:ascii="Arial" w:hAnsi="Arial" w:cs="Arial"/>
          <w:sz w:val="20"/>
          <w:szCs w:val="20"/>
        </w:rPr>
        <w:t xml:space="preserve"> папоротниковые с богатым видовым составом травяного покрова;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насаждения липы </w:t>
      </w:r>
      <w:proofErr w:type="spellStart"/>
      <w:r>
        <w:rPr>
          <w:rFonts w:ascii="Arial" w:hAnsi="Arial" w:cs="Arial"/>
          <w:sz w:val="20"/>
          <w:szCs w:val="20"/>
        </w:rPr>
        <w:t>сердцелистной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редкие и находящиеся под угрозой исчезновения виды животных, растений и </w:t>
      </w:r>
      <w:proofErr w:type="gramStart"/>
      <w:r>
        <w:rPr>
          <w:rFonts w:ascii="Arial" w:hAnsi="Arial" w:cs="Arial"/>
          <w:sz w:val="20"/>
          <w:szCs w:val="20"/>
        </w:rPr>
        <w:t>других организмов</w:t>
      </w:r>
      <w:proofErr w:type="gramEnd"/>
      <w:r>
        <w:rPr>
          <w:rFonts w:ascii="Arial" w:hAnsi="Arial" w:cs="Arial"/>
          <w:sz w:val="20"/>
          <w:szCs w:val="20"/>
        </w:rPr>
        <w:t xml:space="preserve"> и их местообитания.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Местоположение и границы ООПТ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 ООПТ расположена во Всеволожском муниципальном районе Ленинградской области на территории </w:t>
      </w:r>
      <w:proofErr w:type="spellStart"/>
      <w:r>
        <w:rPr>
          <w:rFonts w:ascii="Arial" w:hAnsi="Arial" w:cs="Arial"/>
          <w:sz w:val="20"/>
          <w:szCs w:val="20"/>
        </w:rPr>
        <w:t>Токсовского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поселения, </w:t>
      </w:r>
      <w:proofErr w:type="spellStart"/>
      <w:r>
        <w:rPr>
          <w:rFonts w:ascii="Arial" w:hAnsi="Arial" w:cs="Arial"/>
          <w:sz w:val="20"/>
          <w:szCs w:val="20"/>
        </w:rPr>
        <w:t>Бугровского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и </w:t>
      </w:r>
      <w:proofErr w:type="spellStart"/>
      <w:r>
        <w:rPr>
          <w:rFonts w:ascii="Arial" w:hAnsi="Arial" w:cs="Arial"/>
          <w:sz w:val="20"/>
          <w:szCs w:val="20"/>
        </w:rPr>
        <w:t>Лесколовского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ООПТ является кластером, состоящим из трех кластерных участков: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", "Река </w:t>
      </w:r>
      <w:proofErr w:type="spellStart"/>
      <w:r>
        <w:rPr>
          <w:rFonts w:ascii="Arial" w:hAnsi="Arial" w:cs="Arial"/>
          <w:sz w:val="20"/>
          <w:szCs w:val="20"/>
        </w:rPr>
        <w:t>Охта</w:t>
      </w:r>
      <w:proofErr w:type="spellEnd"/>
      <w:r>
        <w:rPr>
          <w:rFonts w:ascii="Arial" w:hAnsi="Arial" w:cs="Arial"/>
          <w:sz w:val="20"/>
          <w:szCs w:val="20"/>
        </w:rPr>
        <w:t>" и "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озеро".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Описание</w:t>
        </w:r>
      </w:hyperlink>
      <w:r>
        <w:rPr>
          <w:rFonts w:ascii="Arial" w:hAnsi="Arial" w:cs="Arial"/>
          <w:sz w:val="20"/>
          <w:szCs w:val="20"/>
        </w:rPr>
        <w:t xml:space="preserve"> границ ООПТ представлено в приложении 1 к постановлению Правительства Ленинградской области от 7 мая 2019 года N 199 "О природном парке "</w:t>
      </w:r>
      <w:proofErr w:type="spellStart"/>
      <w:r>
        <w:rPr>
          <w:rFonts w:ascii="Arial" w:hAnsi="Arial" w:cs="Arial"/>
          <w:sz w:val="20"/>
          <w:szCs w:val="20"/>
        </w:rPr>
        <w:t>Токсовский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Зонирование ООПТ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границах Природного парка выделяются природоохранная и рекреационная зоны.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>4.2. К рекреационной зоне относятся: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участок территории Природного парка площадью 17,57 га в северной части кластерного участка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>", границы которого проходят: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точки границы земельного участка с кадастровым номером 47:07:0154001:1 с координатами X 464474,67 и Y 2226130,46 по береговой линии озера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до западной границы (юго-западного угла) выдела 20 квартала 22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лесничества; далее по границе выдела 20 квартала 22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лесничества, включая выдел в границы рекреационной зоны, до дороги, проходящей вдоль границ выделов 20, 18, 12 и 13 квартала 22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лесничества; далее в северном направлении по указанной дороге в 1 м от ее дорожного полотна, включая дорогу в границы рекреационной зоны, до ее пересечения с канавой, проходящей вдоль северной стороны дороги, проходящей вдоль южных границ выделов 12, 8, 9, 15 и 20 квартала 23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лесничества; далее в восточном направлении по указанной канаве, включая ее в границы рекреационной зоны, до поворота дороги на север и далее на север по дороге в 1 м от дорожного полотна до участка границы кластерного участка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" N 9; далее по участкам границы кластерного участка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>" N 9 - 12 до точки границы земельного участка с кадастровым номером 47:07:0154001:1 с координатами X 464474,67 и Y 2226130,46;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участок территории Природного парка площадью 162,68 га в южной части кластерного участка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>", границы которого проходят: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точки границы земельного участка с кадастровым номером 47:07:0000000:18791 с координатами X 461109,70 и Y 2225454,28 по участкам границы кластерного участка "Озеро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" N 1 - 6 до западной границы квартала 50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лесничества; далее по границам кварталов 50 - 53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лесничества, включая указанные кварталы и квартальные просеки в границы рекреационной зоны, до границы земельного участка с кадастровым номером 47:07:0000000:18791 и далее в южном направлении по границе указанного участка до точки с координатами X 461109,70 и Y 2225454,28;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участок территории Природного парка площадью 132,21 га в кластерном участке "Река </w:t>
      </w:r>
      <w:proofErr w:type="spellStart"/>
      <w:r>
        <w:rPr>
          <w:rFonts w:ascii="Arial" w:hAnsi="Arial" w:cs="Arial"/>
          <w:sz w:val="20"/>
          <w:szCs w:val="20"/>
        </w:rPr>
        <w:t>Охта</w:t>
      </w:r>
      <w:proofErr w:type="spellEnd"/>
      <w:r>
        <w:rPr>
          <w:rFonts w:ascii="Arial" w:hAnsi="Arial" w:cs="Arial"/>
          <w:sz w:val="20"/>
          <w:szCs w:val="20"/>
        </w:rPr>
        <w:t>", границы которого проходят: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точки границы земельного участка с кадастровым номером 47:07:0000000:18791 с координатами X 459227,03 и Y 2222403,69 по участкам границы кластерного участка "Река </w:t>
      </w:r>
      <w:proofErr w:type="spellStart"/>
      <w:r>
        <w:rPr>
          <w:rFonts w:ascii="Arial" w:hAnsi="Arial" w:cs="Arial"/>
          <w:sz w:val="20"/>
          <w:szCs w:val="20"/>
        </w:rPr>
        <w:t>Охта</w:t>
      </w:r>
      <w:proofErr w:type="spellEnd"/>
      <w:r>
        <w:rPr>
          <w:rFonts w:ascii="Arial" w:hAnsi="Arial" w:cs="Arial"/>
          <w:sz w:val="20"/>
          <w:szCs w:val="20"/>
        </w:rPr>
        <w:t xml:space="preserve">" N 15 - 17 и 1 до дороги в выделе 21 квартала 128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лесничества; далее, пересекая указанную дорогу, в северо-восточном направлении вдоль ее северной стороны (далее дорога проходит через кварталы 128, 129, 116 и 117 </w:t>
      </w:r>
      <w:proofErr w:type="spellStart"/>
      <w:r>
        <w:rPr>
          <w:rFonts w:ascii="Arial" w:hAnsi="Arial" w:cs="Arial"/>
          <w:sz w:val="20"/>
          <w:szCs w:val="20"/>
        </w:rPr>
        <w:t>Кавголовского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Всеволожского лесничества) в 10 м от ее дорожного полотна до точки границы земельного участка с кадастровым номером 47:07:0000000:18791 с координатами X 459227,03 и Y 2222403,69;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участок территории Природного парка в кластерном участке "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озеро" площадью 99,7 га, границы которого проходят: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южной точки границы земельного участка с кадастровым номером 47:07:154001:428 по участкам границы кластерного участка "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озеро" N 1 - 6 до береговой линии озера 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; далее по </w:t>
      </w:r>
      <w:r>
        <w:rPr>
          <w:rFonts w:ascii="Arial" w:hAnsi="Arial" w:cs="Arial"/>
          <w:sz w:val="20"/>
          <w:szCs w:val="20"/>
        </w:rPr>
        <w:lastRenderedPageBreak/>
        <w:t xml:space="preserve">береговой линии озера </w:t>
      </w:r>
      <w:proofErr w:type="spellStart"/>
      <w:r>
        <w:rPr>
          <w:rFonts w:ascii="Arial" w:hAnsi="Arial" w:cs="Arial"/>
          <w:sz w:val="20"/>
          <w:szCs w:val="20"/>
        </w:rPr>
        <w:t>Курголовское</w:t>
      </w:r>
      <w:proofErr w:type="spellEnd"/>
      <w:r>
        <w:rPr>
          <w:rFonts w:ascii="Arial" w:hAnsi="Arial" w:cs="Arial"/>
          <w:sz w:val="20"/>
          <w:szCs w:val="20"/>
        </w:rPr>
        <w:t xml:space="preserve"> в северо-западном направлении до южной точки границы земельного участка с кадастровым номером 47:07:154001:428.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К природоохранной зоне относится часть территории Природного парка, не отнесенная к рекреационной зоне в соответствии с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Схема</w:t>
        </w:r>
      </w:hyperlink>
      <w:r>
        <w:rPr>
          <w:rFonts w:ascii="Arial" w:hAnsi="Arial" w:cs="Arial"/>
          <w:sz w:val="20"/>
          <w:szCs w:val="20"/>
        </w:rPr>
        <w:t xml:space="preserve"> зонирования Природного парка представлена в приложении к настоящему Положению.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Режим особой охраны ООПТ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5.1. На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Природного парка, нарушение режима содержания памятников истории и культуры, в том числе: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>1) строительство и реконструкция зданий, строений, сооружений,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обеспечения функционирования ООПТ в рекреационной зоне,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случаев, связанных с обеспечением ограничения прохода и проезда,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 реконструкции линейных объектов, если отсутствуют иные варианты их размещения и эксплуатации,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gramStart"/>
      <w:r>
        <w:rPr>
          <w:rFonts w:ascii="Arial" w:hAnsi="Arial" w:cs="Arial"/>
          <w:sz w:val="20"/>
          <w:szCs w:val="20"/>
        </w:rPr>
        <w:t>случаев реконструкции</w:t>
      </w:r>
      <w:proofErr w:type="gramEnd"/>
      <w:r>
        <w:rPr>
          <w:rFonts w:ascii="Arial" w:hAnsi="Arial" w:cs="Arial"/>
          <w:sz w:val="20"/>
          <w:szCs w:val="20"/>
        </w:rPr>
        <w:t xml:space="preserve"> существующих на момент создания ООПТ зданий, строений, сооружений,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случаев строительства линейных объектов на лесных участках, предоставленных для осуществления рекреационной деятельности, в границах рекреационной зоны,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случаев строительства жилого или садового дома, а также гаража и </w:t>
      </w:r>
      <w:proofErr w:type="gramStart"/>
      <w:r>
        <w:rPr>
          <w:rFonts w:ascii="Arial" w:hAnsi="Arial" w:cs="Arial"/>
          <w:sz w:val="20"/>
          <w:szCs w:val="20"/>
        </w:rPr>
        <w:t>строений</w:t>
      </w:r>
      <w:proofErr w:type="gramEnd"/>
      <w:r>
        <w:rPr>
          <w:rFonts w:ascii="Arial" w:hAnsi="Arial" w:cs="Arial"/>
          <w:sz w:val="20"/>
          <w:szCs w:val="20"/>
        </w:rPr>
        <w:t xml:space="preserve"> и сооружений вспомогательного использования на земельном участке с кадастровым номером 47:07:0154001:666;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8"/>
      <w:bookmarkEnd w:id="4"/>
      <w:r>
        <w:rPr>
          <w:rFonts w:ascii="Arial" w:hAnsi="Arial" w:cs="Arial"/>
          <w:sz w:val="20"/>
          <w:szCs w:val="20"/>
        </w:rPr>
        <w:t>2) размещение некапитальных сооружений и объектов в природоохранной зоне,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случаев, связанных с обеспечением ограничения прохода и проезда, содержанием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обустройства экологических троп, маркировки спортивных и туристических маршрутов и трасс,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 проведения противопожарных мероприятий в лесах,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случаев, связанных с обслуживанием линий электропередач,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случаев размещения сооружений на земельном участке с кадастровым номером 47:07:0154001:666, необходимых для использований указанного земельного участка в соответствии с видом разрешенного использования, установленным для него на момент создания Природного парка,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случаев размещения сооружений, связанных с обеспечением ведения сельского хозяйства, на земельных участках с кадастровыми номерами 47:07:0154001:8, 47:07:0154001:45, 47:07:0154001:49, 47:07:0154001:50, 47:07:0154001:56;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>3) проведение всех видов рубок, иное уничтожение и повреждение растительности,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обеспечения функционирования ООПТ,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случаев осуществления деятельности, предусмотренной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случаев, связанных с обслуживанием линий электропередач;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заготовка живицы, заготовка и сбор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ресурсов, пищевых лесных ресурсов и лекарственных растений;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1"/>
      <w:bookmarkEnd w:id="6"/>
      <w:r>
        <w:rPr>
          <w:rFonts w:ascii="Arial" w:hAnsi="Arial" w:cs="Arial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лесовосстановление</w:t>
      </w:r>
      <w:proofErr w:type="spellEnd"/>
      <w:r>
        <w:rPr>
          <w:rFonts w:ascii="Arial" w:hAnsi="Arial" w:cs="Arial"/>
          <w:sz w:val="20"/>
          <w:szCs w:val="20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использование токсичных химических препаратов;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деятельность, приводящая к уничтожению объектов животного мира, причинению им вреда, изъятие из среды их обитания, в том числе сбор яиц птиц,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мира,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Буквенное обозначение пунктов дано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77CBC" w:rsidRDefault="00F77CBC" w:rsidP="00F77C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любительского рыболовства (за исключением проведения физкультурных и спортивных мероприятий),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0"/>
      <w:bookmarkEnd w:id="7"/>
      <w:r>
        <w:rPr>
          <w:rFonts w:ascii="Arial" w:hAnsi="Arial" w:cs="Arial"/>
          <w:sz w:val="20"/>
          <w:szCs w:val="20"/>
        </w:rPr>
        <w:t>9) использование территории для любого сельскохозяйственного использования и производства, за исключением использования земельных участков с кадастровыми номерами 47:07:0154001:8, 47:07:0154001:45, 47:07:0154001:49, 47:07:0154001:50, 47:07:0154001:56 и 47:07:0154001:666, ведение личного подсобного хозяйства, садоводства, огородничества и дачного хозяйства, за исключением использования земельного участка с кадастровым номером 47:07:0154001:666;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интродукция растений, иных организмов;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использование территории для содержания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 и восстановления численности редких объектов животного мира, рыбоводство;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3"/>
      <w:bookmarkEnd w:id="8"/>
      <w:r>
        <w:rPr>
          <w:rFonts w:ascii="Arial" w:hAnsi="Arial" w:cs="Arial"/>
          <w:sz w:val="20"/>
          <w:szCs w:val="20"/>
        </w:rPr>
        <w:t>12)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покровов; добыча подземных вод, за исключением добычи подземных вод для целей питьевого и хозяйственно-бытового водоснабжения на земельных участках с кадастровыми номерами 47:07:0154001:8, 47:07:0154001:45, 47:07:0154001:49, 47:07:0154001:50, 47:07:0154001:56 и 47:07:0154001:666, разведка и добыча полезных ископаемых;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проведение буровых работ, за исключением осуществления деятельности, предусмотренной подпунктами 1 и 12 настоящего пункта,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складирование и размещение строительных и иных материалов, грунтов, конструкций, не связанных с осуществлением деятельности, предусмотренной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15) движение и стоянка механических транспортных средств, в том числе тяжелой техники, вне дорог, в том числе лесных, общего и необщего пользования и специально оборудованных стоянок автотранспорта,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осуществления деятельности по охране и обеспечению функционирования ООПТ,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осуществления государственного контроля и надзора, проведения спасательных мероприятий,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 осуществления охраны, защиты, воспроизводства лесов,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случаев осуществления деятельности, предусмотренной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случаев, связанных с обслуживанием линий электропередач,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случаев передвижения транспорта, выполняющего техническое обеспечение проведения спортивных (соревновательных и учебно-тренировочных) мероприятий в зимний период времени на льду озера </w:t>
      </w:r>
      <w:proofErr w:type="spellStart"/>
      <w:r>
        <w:rPr>
          <w:rFonts w:ascii="Arial" w:hAnsi="Arial" w:cs="Arial"/>
          <w:sz w:val="20"/>
          <w:szCs w:val="20"/>
        </w:rPr>
        <w:t>Кавголовское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случаев, связанных с использованием земельных участков с кадастровыми номерами 47:07:0154001:8, 47:07:0154001:45, 47:07:0154001:49, 47:07:0154001:50, 47:07:0154001:56 и 47:07:0154001:666 в соответствии с установленным для них видом разрешенного использования земельного участка;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использование водных объектов для плавания (иного передвижения) на моторных судах (иных плавательных средствах и конструкциях), в том числе водных мотоциклах (гидроциклах), и на плавательных средствах и спортивных снарядах, используемых для отдыха и спорта на воде, приводимых в движение электротягой или моторными судами,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осуществления государственного контроля и надзора, осуществления деятельности по охране ООПТ и проведения спасательных мероприятий,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движения на маломерных судах, приводимых в движение электрическим двигателем, в целях осуществления деятельности по обеспечению функционирования ООПТ, проведения научно-исследовательских работ, осуществления любительского рыболовства, сопровождения проведения учебно-тренировочных и спортивных (соревновательных и учебно-тренировочных) мероприятий по дисциплинам гребного и парусного видов спорта, плавания;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устройство туристических и иных стоянок, проведение массовых спортивных, развлекательных и иных мероприятий, в том числе проводимых на водных объектах,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реализацией эколого-просветительских функций ООПТ в рекреационной зоне, проведением экскурсий в границах существующей дорожно-</w:t>
      </w:r>
      <w:proofErr w:type="spellStart"/>
      <w:r>
        <w:rPr>
          <w:rFonts w:ascii="Arial" w:hAnsi="Arial" w:cs="Arial"/>
          <w:sz w:val="20"/>
          <w:szCs w:val="20"/>
        </w:rPr>
        <w:t>тропиночной</w:t>
      </w:r>
      <w:proofErr w:type="spellEnd"/>
      <w:r>
        <w:rPr>
          <w:rFonts w:ascii="Arial" w:hAnsi="Arial" w:cs="Arial"/>
          <w:sz w:val="20"/>
          <w:szCs w:val="20"/>
        </w:rPr>
        <w:t xml:space="preserve"> сети,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осуществления рекреационной деятельности на лесных участках, предоставленных для осуществления рекреационной деятельности, в рекреационной зоне,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проведения спортивных (соревновательных и учебно-тренировочных) мероприятий в границах существующей дорожно-</w:t>
      </w:r>
      <w:proofErr w:type="spellStart"/>
      <w:r>
        <w:rPr>
          <w:rFonts w:ascii="Arial" w:hAnsi="Arial" w:cs="Arial"/>
          <w:sz w:val="20"/>
          <w:szCs w:val="20"/>
        </w:rPr>
        <w:t>тропиночной</w:t>
      </w:r>
      <w:proofErr w:type="spellEnd"/>
      <w:r>
        <w:rPr>
          <w:rFonts w:ascii="Arial" w:hAnsi="Arial" w:cs="Arial"/>
          <w:sz w:val="20"/>
          <w:szCs w:val="20"/>
        </w:rPr>
        <w:t xml:space="preserve"> сети,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1"/>
      <w:bookmarkEnd w:id="9"/>
      <w:r>
        <w:rPr>
          <w:rFonts w:ascii="Arial" w:hAnsi="Arial" w:cs="Arial"/>
          <w:sz w:val="20"/>
          <w:szCs w:val="20"/>
        </w:rPr>
        <w:t>г) отдыха граждан на лишенных древесно-кустарниковой растительности участках территории рекреационной зоны,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проведения спортивных (соревновательных и учебно-тренировочных) мероприятий по дисциплинам гребного и парусного видов спорта, плавания;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использование мангалов и иных приспособлений для обогрева и приготовления пищи на огне и углях вне специально оборудованных для этих целей мест на участках, указанных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части "г" подпункта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 лесных участков, предоставленных для осуществления рекреационной деятельности, в рекреационной зоне, разведение костров, пуск палов;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19) нахождение с огнестрельным, пневматическим и метательным оружием, в том числе с охотничьим огнестрельным оружием в собранном виде, капканами и другими орудиями охоты, а также с продукцией добывания объектов животного мира и орудиями добычи (вылова) водных биоресурсов, за исключением: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любительским рыболовством, проведением научно-исследовательских работ, регулированием численности отдельных объектов животного мира,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осуществления деятельности по охране ООПТ,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 осуществления государственного контроля и надзора,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случаев проведения спортивных (соревновательных и учебно-тренировочных) мероприятий по биатлону;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мойка транспортных средств, в том числе судов, и спортивных снарядов на берегах водных объектов;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деятельность, влекущая за собой изменение гидрологического режима, за исключением случаев, когда такая деятельность связана с сохранением и восстановлением природных комплексов и объектов ООПТ.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Деятельность, допустимая к осуществлению на ООПТ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осуществляется при условии сохранения природных комплексов и объектов, подлежащих охране в границах ООПТ.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ООПТ и несут за его нарушение установленную законом ответственность.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Основные и вспомогательные виды разрешенного использования земельных участков, предельные параметры разрешенного строительства, реконструкции объектов капитального строительства.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5"/>
      <w:bookmarkEnd w:id="10"/>
      <w:r>
        <w:rPr>
          <w:rFonts w:ascii="Arial" w:hAnsi="Arial" w:cs="Arial"/>
          <w:sz w:val="20"/>
          <w:szCs w:val="20"/>
        </w:rPr>
        <w:t>5.5.1. Основные виды разрешенного использования земельных участков и объектов капитального строительства: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653"/>
        <w:gridCol w:w="850"/>
      </w:tblGrid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 (только для территории земельных участков с кадастровыми номерами 47:07:0154001:8, 47:07:0154001:45, 47:07:0154001:49, 47:07:0154001:50, 47:07:0154001:56 и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личного подсобного хозяйства на полевых участках (только для территории земельных участков с кадастровыми номерами 47:07:0154001:8, 47:07:0154001:45, 47:07:0154001:49, 47:07:0154001:50, 47:07:0154001:56 и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Питомники (только для территории земельных участков с кадастровыми номерами 47:07:0154001:8, 47:07:0154001:45, 47:07:0154001:49, 47:07:0154001:50, 47:07:0154001:56 и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Сенокошение (только для территории земельных участков с кадастровыми номерами 47:07:0154001:8, 47:07:0154001:45, 47:07:0154001:49, 47:07:0154001:50, 47:07:0154001:56 и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Выпас сельскохозяйственных животных (только для территории земельных участков с кадастровыми номерами 47:07:0154001:8, 47:07:0154001:45, 47:07:0154001:49, 47:07:0154001:50, 47:07:0154001:56 и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индивидуального жилищного строительства (только для территории земельного участка с кадастровым номером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ведения личного подсобного хозяйства (приусадебный земельный участок) (только для территории земельного участка с кадастровым номером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огородничества (только для территории земельного участка с кадастровым номером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садоводства (только для территории земельного участка с кадастровым номером 47:07:0154001:666)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F77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</w:tr>
    </w:tbl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5.5.2. Вспомогательные виды разрешенного использования не применяются (не устанавливаются).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5.5.3. Сведения о наименовании, коде и описании видов разрешенного использования земельных участков и объектов капитального строительства, указанные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5.5.1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установлены в соответствии с классификатором видом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в соответствии с Земельным кодексом Российской Федерации (далее - Классификатор).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5.5.4. Разрешенное использование расположенных в границах Природного парка земельных участков и объектов капитального строительства, установленное до создания Природного парка, признается действительным без установления срока приведения его в соответствие с основными видами разрешенного использования земельных участков и объектов капитального строительства, указанных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5.5.1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если оно не противоречит режиму особой охраны Природного парка.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5"/>
      <w:bookmarkEnd w:id="11"/>
      <w:r>
        <w:rPr>
          <w:rFonts w:ascii="Arial" w:hAnsi="Arial" w:cs="Arial"/>
          <w:sz w:val="20"/>
          <w:szCs w:val="20"/>
        </w:rPr>
        <w:t>5.5.5. Предельные параметры разрешенного строительства, реконструкции объектов капитального строительства:</w:t>
      </w: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устанавливаются</w:t>
            </w: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земельных участков в целях определения допустимого размещения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</w:t>
            </w: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предельное количество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</w:t>
            </w: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(максимальная) высота зданий, строений, сооружений: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смотровых вышек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м</w:t>
            </w: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всех остальных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м</w:t>
            </w:r>
          </w:p>
        </w:tc>
      </w:tr>
      <w:tr w:rsidR="00F77CBC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C" w:rsidRDefault="00F7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7CBC" w:rsidRDefault="00F77CBC" w:rsidP="00F7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5.5.6. Созданные и образованные до создания Природного парка объекты капитального строительства и земельные участки, размеры и параметры которых не соответствуют предельным параметрам, установленным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пунктом 5.5.5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могут использоваться без установления срока приведения их в соответствие с параметрами, установленными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пунктом 5.5.5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 исключением случаев, если использование таких земельных участков и объектов капитального строительства опасно для жизни или здоровья.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Реконструкция указанных объектов капитального строительства может осуществляться только путем приведения таких объектов в соответствие с параметрами, установленными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пунктом 5.5.5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путем уменьшения их несоответствия этим параметрам.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5.5.7. Указанные виды разрешенного использования земельных участков и объектов капитального строительства,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5.5.8. Описание вида разрешенного использования земельного участка, указанного в Классификаторе, применяется к земельным участкам, расположенным в границах Природного парка, в той части, в которой оно не противоречит режиму особой охраны Природного парка.</w:t>
      </w:r>
    </w:p>
    <w:p w:rsidR="00F77CBC" w:rsidRDefault="00F77CBC" w:rsidP="00F77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5.5.9. В границах Природного парка не допускается перевод земель и земельных участков из других категорий земель в земли населенных пунктов.</w:t>
      </w:r>
    </w:p>
    <w:p w:rsidR="004822DA" w:rsidRDefault="004822DA"/>
    <w:sectPr w:rsidR="004822DA" w:rsidSect="00F80F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89"/>
    <w:rsid w:val="004822DA"/>
    <w:rsid w:val="004F4189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D94E-000E-40B3-AD66-D865460A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1207&amp;dst=100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1207&amp;dst=100012" TargetMode="External"/><Relationship Id="rId5" Type="http://schemas.openxmlformats.org/officeDocument/2006/relationships/hyperlink" Target="https://login.consultant.ru/link/?req=doc&amp;base=LAW&amp;n=454306" TargetMode="External"/><Relationship Id="rId4" Type="http://schemas.openxmlformats.org/officeDocument/2006/relationships/hyperlink" Target="https://login.consultant.ru/link/?req=doc&amp;base=LAW&amp;n=472824&amp;dst=100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3502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2024-06-20T11:03:00Z</dcterms:created>
  <dcterms:modified xsi:type="dcterms:W3CDTF">2024-06-20T11:04:00Z</dcterms:modified>
</cp:coreProperties>
</file>