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422266" w:rsidRDefault="009C0AE4" w:rsidP="0079469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 воздуха зафиксировано не было.</w:t>
      </w:r>
    </w:p>
    <w:p w:rsidR="00514981" w:rsidRDefault="00514981" w:rsidP="0051498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стационарном посту осуществлялся в штатном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>в течение 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ех календарных дней непрерывно.</w:t>
      </w:r>
    </w:p>
    <w:p w:rsidR="00C9471C" w:rsidRP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ДКм.р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углерода, диоксиду азота, аммиаку, сероводороду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пыли общей не наблюдалось. Был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зафиксирован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1 случай превышения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. по показа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телю оксид азота. Повторяемость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случаев превышения по оксиду азота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. составил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менее 1% от общего количества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проб.</w:t>
      </w:r>
    </w:p>
    <w:p w:rsidR="00C9471C" w:rsidRP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боратории ООО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Аналитик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территорию города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19 января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26 года по адресу Ленинградская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область, Всеволожский район, г.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, ул. Ленинград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ская, д. 8. По полученным данным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экспедиционного наблюдения, случаев превышения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ДКм.р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D56CA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диоксиду серы, оксиду углерода, </w:t>
      </w:r>
      <w:r w:rsidR="00304264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="007D56CA">
        <w:rPr>
          <w:rFonts w:ascii="Times New Roman" w:eastAsia="Times New Roman" w:hAnsi="Times New Roman"/>
          <w:sz w:val="24"/>
          <w:szCs w:val="24"/>
          <w:lang w:eastAsia="ru-RU"/>
        </w:rPr>
        <w:t>диоксиду азота, аммиаку, сероводороду и взвешенным вещества не выявлено.</w:t>
      </w:r>
    </w:p>
    <w:p w:rsidR="007D56CA" w:rsidRPr="00304264" w:rsidRDefault="007D56CA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264">
        <w:rPr>
          <w:rFonts w:ascii="Times New Roman" w:eastAsia="Times New Roman" w:hAnsi="Times New Roman"/>
          <w:sz w:val="24"/>
          <w:szCs w:val="24"/>
          <w:lang w:eastAsia="ru-RU"/>
        </w:rPr>
        <w:t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так как возрастает степень влияния случайных факторов, порождающих погрешности измерений, на получаемые результаты.</w:t>
      </w:r>
    </w:p>
    <w:p w:rsidR="00C9471C" w:rsidRDefault="007D56CA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264">
        <w:rPr>
          <w:rFonts w:ascii="Times New Roman" w:eastAsia="Times New Roman" w:hAnsi="Times New Roman"/>
          <w:sz w:val="24"/>
          <w:szCs w:val="24"/>
          <w:lang w:eastAsia="ru-RU"/>
        </w:rPr>
        <w:t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как «низкая».</w:t>
      </w:r>
    </w:p>
    <w:p w:rsidR="00304264" w:rsidRDefault="00304264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4264" w:rsidRPr="00B57E37" w:rsidRDefault="00304264" w:rsidP="00304264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304264" w:rsidRPr="00B57E37" w:rsidTr="00931E27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64" w:rsidRPr="009F54B6" w:rsidRDefault="00304264" w:rsidP="00931E27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Кудрово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64" w:rsidRPr="009F54B6" w:rsidRDefault="00304264" w:rsidP="00931E27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4" w:rsidRPr="009F54B6" w:rsidRDefault="00304264" w:rsidP="00931E27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</w:tr>
      <w:tr w:rsidR="00304264" w:rsidRPr="00B57E37" w:rsidTr="00931E27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64" w:rsidRPr="00B57E37" w:rsidRDefault="00304264" w:rsidP="00931E27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D2647E">
              <w:rPr>
                <w:rFonts w:ascii="Times New Roman" w:hAnsi="Times New Roman"/>
                <w:bCs/>
                <w:sz w:val="18"/>
                <w:szCs w:val="18"/>
              </w:rPr>
              <w:t>SkatStantion240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Кудрово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64" w:rsidRPr="009F54B6" w:rsidRDefault="00304264" w:rsidP="00931E27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304264" w:rsidRPr="00B57E37" w:rsidRDefault="00304264" w:rsidP="00304264">
      <w:pPr>
        <w:spacing w:after="200" w:line="276" w:lineRule="auto"/>
        <w:jc w:val="left"/>
        <w:rPr>
          <w:rFonts w:ascii="Times New Roman" w:hAnsi="Times New Roman"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36"/>
        <w:gridCol w:w="836"/>
        <w:gridCol w:w="980"/>
        <w:gridCol w:w="694"/>
        <w:gridCol w:w="698"/>
        <w:gridCol w:w="842"/>
        <w:gridCol w:w="928"/>
        <w:gridCol w:w="606"/>
        <w:gridCol w:w="573"/>
        <w:gridCol w:w="404"/>
        <w:gridCol w:w="559"/>
        <w:gridCol w:w="559"/>
        <w:gridCol w:w="977"/>
      </w:tblGrid>
      <w:tr w:rsidR="00304264" w:rsidRPr="00BB1015" w:rsidTr="00062454">
        <w:trPr>
          <w:trHeight w:val="135"/>
        </w:trPr>
        <w:tc>
          <w:tcPr>
            <w:tcW w:w="978" w:type="dxa"/>
            <w:vMerge w:val="restart"/>
            <w:vAlign w:val="center"/>
          </w:tcPr>
          <w:p w:rsidR="00304264" w:rsidRPr="00BB1015" w:rsidRDefault="00304264" w:rsidP="00931E27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36" w:type="dxa"/>
            <w:vMerge w:val="restart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08" w:type="dxa"/>
            <w:gridSpan w:val="4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30426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42" w:type="dxa"/>
            <w:vMerge w:val="restart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30426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8" w:type="dxa"/>
            <w:vMerge w:val="restart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79" w:type="dxa"/>
            <w:gridSpan w:val="2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22" w:type="dxa"/>
            <w:gridSpan w:val="3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77" w:type="dxa"/>
            <w:vMerge w:val="restart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304264" w:rsidRPr="00BB1015" w:rsidTr="00062454">
        <w:trPr>
          <w:trHeight w:val="67"/>
        </w:trPr>
        <w:tc>
          <w:tcPr>
            <w:tcW w:w="978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72" w:type="dxa"/>
            <w:gridSpan w:val="3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42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  <w:vAlign w:val="center"/>
          </w:tcPr>
          <w:p w:rsidR="00304264" w:rsidRDefault="00304264" w:rsidP="00931E27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304264" w:rsidRPr="00BB1015" w:rsidRDefault="00304264" w:rsidP="00931E27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73" w:type="dxa"/>
            <w:vMerge w:val="restart"/>
            <w:vAlign w:val="center"/>
          </w:tcPr>
          <w:p w:rsidR="00304264" w:rsidRPr="00BB1015" w:rsidRDefault="00304264" w:rsidP="0030426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404" w:type="dxa"/>
            <w:vMerge w:val="restart"/>
            <w:vAlign w:val="center"/>
          </w:tcPr>
          <w:p w:rsidR="00304264" w:rsidRPr="00BB1015" w:rsidRDefault="00304264" w:rsidP="00931E27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9" w:type="dxa"/>
            <w:vMerge w:val="restart"/>
            <w:vAlign w:val="center"/>
          </w:tcPr>
          <w:p w:rsidR="00304264" w:rsidRDefault="00304264" w:rsidP="00931E27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304264" w:rsidRPr="00BB1015" w:rsidRDefault="00304264" w:rsidP="00931E27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9" w:type="dxa"/>
            <w:vMerge w:val="restart"/>
            <w:vAlign w:val="center"/>
          </w:tcPr>
          <w:p w:rsidR="00304264" w:rsidRDefault="00304264" w:rsidP="00931E27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304264" w:rsidRPr="00BB1015" w:rsidRDefault="00304264" w:rsidP="00931E27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77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4264" w:rsidRPr="00BB1015" w:rsidTr="00062454">
        <w:trPr>
          <w:trHeight w:val="57"/>
        </w:trPr>
        <w:tc>
          <w:tcPr>
            <w:tcW w:w="978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4" w:type="dxa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8" w:type="dxa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42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4264" w:rsidRPr="00BB1015" w:rsidTr="00062454">
        <w:trPr>
          <w:trHeight w:val="299"/>
        </w:trPr>
        <w:tc>
          <w:tcPr>
            <w:tcW w:w="978" w:type="dxa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980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0,209</w:t>
            </w:r>
          </w:p>
        </w:tc>
        <w:tc>
          <w:tcPr>
            <w:tcW w:w="69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05.01</w:t>
            </w:r>
          </w:p>
        </w:tc>
        <w:tc>
          <w:tcPr>
            <w:tcW w:w="698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2220</w:t>
            </w:r>
          </w:p>
        </w:tc>
        <w:tc>
          <w:tcPr>
            <w:tcW w:w="842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0,021</w:t>
            </w:r>
          </w:p>
        </w:tc>
        <w:tc>
          <w:tcPr>
            <w:tcW w:w="928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606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304264" w:rsidRPr="00607E8E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0,21</w:t>
            </w:r>
          </w:p>
        </w:tc>
      </w:tr>
      <w:tr w:rsidR="00304264" w:rsidRPr="00BB1015" w:rsidTr="00062454">
        <w:trPr>
          <w:trHeight w:val="299"/>
        </w:trPr>
        <w:tc>
          <w:tcPr>
            <w:tcW w:w="978" w:type="dxa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062454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6" w:type="dxa"/>
            <w:vAlign w:val="center"/>
          </w:tcPr>
          <w:p w:rsidR="00304264" w:rsidRPr="009C4D14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80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694" w:type="dxa"/>
            <w:vAlign w:val="center"/>
          </w:tcPr>
          <w:p w:rsidR="00304264" w:rsidRPr="00DA55E0" w:rsidRDefault="00935831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06.01</w:t>
            </w:r>
          </w:p>
        </w:tc>
        <w:tc>
          <w:tcPr>
            <w:tcW w:w="698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0120</w:t>
            </w:r>
          </w:p>
        </w:tc>
        <w:tc>
          <w:tcPr>
            <w:tcW w:w="842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28" w:type="dxa"/>
            <w:vAlign w:val="center"/>
          </w:tcPr>
          <w:p w:rsidR="00304264" w:rsidRPr="008B2F6D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1,67</w:t>
            </w:r>
          </w:p>
        </w:tc>
        <w:tc>
          <w:tcPr>
            <w:tcW w:w="606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304264" w:rsidRPr="00607E8E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304264" w:rsidRPr="00BB1015" w:rsidTr="00062454">
        <w:trPr>
          <w:trHeight w:val="299"/>
        </w:trPr>
        <w:tc>
          <w:tcPr>
            <w:tcW w:w="978" w:type="dxa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6" w:type="dxa"/>
            <w:vAlign w:val="center"/>
          </w:tcPr>
          <w:p w:rsidR="00304264" w:rsidRPr="009C4D14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980" w:type="dxa"/>
            <w:vAlign w:val="center"/>
          </w:tcPr>
          <w:p w:rsidR="00304264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04264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  <w:p w:rsidR="00304264" w:rsidRPr="009C4D14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304264" w:rsidRDefault="00304264" w:rsidP="009358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07.01</w:t>
            </w:r>
          </w:p>
          <w:p w:rsidR="00304264" w:rsidRPr="00DA55E0" w:rsidRDefault="00935831" w:rsidP="009358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08.0108.01</w:t>
            </w:r>
          </w:p>
        </w:tc>
        <w:tc>
          <w:tcPr>
            <w:tcW w:w="698" w:type="dxa"/>
            <w:vAlign w:val="center"/>
          </w:tcPr>
          <w:p w:rsidR="00304264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2140</w:t>
            </w:r>
          </w:p>
          <w:p w:rsidR="00304264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0140</w:t>
            </w:r>
          </w:p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0200</w:t>
            </w:r>
          </w:p>
        </w:tc>
        <w:tc>
          <w:tcPr>
            <w:tcW w:w="842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0,219</w:t>
            </w:r>
          </w:p>
        </w:tc>
        <w:tc>
          <w:tcPr>
            <w:tcW w:w="928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0,97</w:t>
            </w:r>
          </w:p>
        </w:tc>
        <w:tc>
          <w:tcPr>
            <w:tcW w:w="606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0,11</w:t>
            </w:r>
          </w:p>
        </w:tc>
      </w:tr>
      <w:tr w:rsidR="00304264" w:rsidRPr="00BB1015" w:rsidTr="00062454">
        <w:trPr>
          <w:trHeight w:val="299"/>
        </w:trPr>
        <w:tc>
          <w:tcPr>
            <w:tcW w:w="978" w:type="dxa"/>
            <w:vAlign w:val="center"/>
          </w:tcPr>
          <w:p w:rsidR="00304264" w:rsidRPr="00BB1015" w:rsidRDefault="00304264" w:rsidP="00931E27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062454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980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0,105</w:t>
            </w:r>
          </w:p>
        </w:tc>
        <w:tc>
          <w:tcPr>
            <w:tcW w:w="69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  <w:tc>
          <w:tcPr>
            <w:tcW w:w="698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1120</w:t>
            </w:r>
          </w:p>
        </w:tc>
        <w:tc>
          <w:tcPr>
            <w:tcW w:w="842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0,018</w:t>
            </w:r>
          </w:p>
        </w:tc>
        <w:tc>
          <w:tcPr>
            <w:tcW w:w="928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0,42</w:t>
            </w:r>
          </w:p>
        </w:tc>
        <w:tc>
          <w:tcPr>
            <w:tcW w:w="606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0,44</w:t>
            </w:r>
          </w:p>
        </w:tc>
      </w:tr>
      <w:tr w:rsidR="00304264" w:rsidRPr="00BB1015" w:rsidTr="00062454">
        <w:trPr>
          <w:trHeight w:val="299"/>
        </w:trPr>
        <w:tc>
          <w:tcPr>
            <w:tcW w:w="978" w:type="dxa"/>
            <w:vAlign w:val="center"/>
          </w:tcPr>
          <w:p w:rsidR="00304264" w:rsidRPr="00BB1015" w:rsidRDefault="00304264" w:rsidP="00931E27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0,023</w:t>
            </w:r>
          </w:p>
        </w:tc>
        <w:tc>
          <w:tcPr>
            <w:tcW w:w="980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0,425</w:t>
            </w:r>
          </w:p>
        </w:tc>
        <w:tc>
          <w:tcPr>
            <w:tcW w:w="69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07.01</w:t>
            </w:r>
          </w:p>
        </w:tc>
        <w:tc>
          <w:tcPr>
            <w:tcW w:w="698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2140</w:t>
            </w:r>
          </w:p>
        </w:tc>
        <w:tc>
          <w:tcPr>
            <w:tcW w:w="842" w:type="dxa"/>
            <w:vAlign w:val="center"/>
          </w:tcPr>
          <w:p w:rsidR="00304264" w:rsidRPr="008B2F6D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928" w:type="dxa"/>
            <w:vAlign w:val="center"/>
          </w:tcPr>
          <w:p w:rsidR="00304264" w:rsidRPr="008B2F6D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2,01</w:t>
            </w:r>
          </w:p>
        </w:tc>
        <w:tc>
          <w:tcPr>
            <w:tcW w:w="606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304264" w:rsidRPr="00607E8E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0,38</w:t>
            </w:r>
          </w:p>
        </w:tc>
      </w:tr>
      <w:tr w:rsidR="00304264" w:rsidRPr="00BB1015" w:rsidTr="00062454">
        <w:trPr>
          <w:trHeight w:val="299"/>
        </w:trPr>
        <w:tc>
          <w:tcPr>
            <w:tcW w:w="978" w:type="dxa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062454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6" w:type="dxa"/>
            <w:vAlign w:val="center"/>
          </w:tcPr>
          <w:p w:rsidR="00304264" w:rsidRPr="005F2466" w:rsidRDefault="00304264" w:rsidP="002101E6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80" w:type="dxa"/>
            <w:vAlign w:val="center"/>
          </w:tcPr>
          <w:p w:rsidR="00304264" w:rsidRPr="005F2466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0,0066</w:t>
            </w:r>
          </w:p>
        </w:tc>
        <w:tc>
          <w:tcPr>
            <w:tcW w:w="694" w:type="dxa"/>
            <w:vAlign w:val="center"/>
          </w:tcPr>
          <w:p w:rsidR="00304264" w:rsidRPr="004F5B67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</w:t>
            </w:r>
          </w:p>
        </w:tc>
        <w:tc>
          <w:tcPr>
            <w:tcW w:w="698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0620</w:t>
            </w:r>
          </w:p>
        </w:tc>
        <w:tc>
          <w:tcPr>
            <w:tcW w:w="842" w:type="dxa"/>
            <w:vAlign w:val="center"/>
          </w:tcPr>
          <w:p w:rsidR="00304264" w:rsidRPr="008B2F6D" w:rsidRDefault="00304264" w:rsidP="00931E27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28" w:type="dxa"/>
            <w:vAlign w:val="center"/>
          </w:tcPr>
          <w:p w:rsidR="00304264" w:rsidRPr="008B2F6D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1,29</w:t>
            </w:r>
          </w:p>
        </w:tc>
        <w:tc>
          <w:tcPr>
            <w:tcW w:w="606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304264" w:rsidRPr="00607E8E" w:rsidRDefault="00304264" w:rsidP="00931E27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0,13</w:t>
            </w:r>
          </w:p>
        </w:tc>
      </w:tr>
      <w:tr w:rsidR="00304264" w:rsidRPr="00BB1015" w:rsidTr="00062454">
        <w:trPr>
          <w:trHeight w:val="299"/>
        </w:trPr>
        <w:tc>
          <w:tcPr>
            <w:tcW w:w="978" w:type="dxa"/>
            <w:vAlign w:val="center"/>
          </w:tcPr>
          <w:p w:rsidR="00304264" w:rsidRPr="00BB1015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062454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="00062454" w:rsidRPr="00062454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6" w:type="dxa"/>
            <w:vAlign w:val="center"/>
          </w:tcPr>
          <w:p w:rsidR="00304264" w:rsidRPr="00DA55E0" w:rsidRDefault="00304264" w:rsidP="002101E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80" w:type="dxa"/>
            <w:vAlign w:val="center"/>
          </w:tcPr>
          <w:p w:rsidR="00304264" w:rsidRPr="005F2466" w:rsidRDefault="00304264" w:rsidP="003042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694" w:type="dxa"/>
            <w:vAlign w:val="center"/>
          </w:tcPr>
          <w:p w:rsidR="00304264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25.01</w:t>
            </w:r>
          </w:p>
          <w:p w:rsidR="00304264" w:rsidRPr="004F5B67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25.01</w:t>
            </w:r>
          </w:p>
        </w:tc>
        <w:tc>
          <w:tcPr>
            <w:tcW w:w="698" w:type="dxa"/>
            <w:vAlign w:val="center"/>
          </w:tcPr>
          <w:p w:rsidR="00304264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0100</w:t>
            </w:r>
          </w:p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0120</w:t>
            </w:r>
          </w:p>
        </w:tc>
        <w:tc>
          <w:tcPr>
            <w:tcW w:w="842" w:type="dxa"/>
            <w:vAlign w:val="center"/>
          </w:tcPr>
          <w:p w:rsidR="00304264" w:rsidRPr="00DA55E0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28" w:type="dxa"/>
            <w:vAlign w:val="center"/>
          </w:tcPr>
          <w:p w:rsidR="00304264" w:rsidRPr="008B2F6D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5,84</w:t>
            </w:r>
          </w:p>
        </w:tc>
        <w:tc>
          <w:tcPr>
            <w:tcW w:w="606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4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304264" w:rsidRPr="00DA55E0" w:rsidRDefault="00304264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:rsidR="00304264" w:rsidRPr="00607E8E" w:rsidRDefault="00304264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0,004</w:t>
            </w:r>
          </w:p>
        </w:tc>
      </w:tr>
      <w:tr w:rsidR="00304264" w:rsidRPr="00BB1015" w:rsidTr="00062454">
        <w:trPr>
          <w:trHeight w:val="106"/>
        </w:trPr>
        <w:tc>
          <w:tcPr>
            <w:tcW w:w="10470" w:type="dxa"/>
            <w:gridSpan w:val="14"/>
            <w:vAlign w:val="center"/>
          </w:tcPr>
          <w:p w:rsidR="00304264" w:rsidRPr="00717281" w:rsidRDefault="00304264" w:rsidP="00931E27">
            <w:pPr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>СИ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оксид азота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) –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1,1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НП </w:t>
            </w:r>
            <w:r w:rsidRPr="005643D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&lt;1 </w:t>
            </w:r>
            <w:r w:rsidR="0093583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Уровень загрязнения: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низкий</w:t>
            </w:r>
          </w:p>
        </w:tc>
      </w:tr>
    </w:tbl>
    <w:p w:rsidR="00304264" w:rsidRDefault="00304264" w:rsidP="0030426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62454" w:rsidRPr="00E82438" w:rsidRDefault="00062454" w:rsidP="00062454">
      <w:pPr>
        <w:jc w:val="both"/>
        <w:rPr>
          <w:rFonts w:ascii="Times New Roman" w:eastAsia="Times New Roman" w:hAnsi="Times New Roman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062454" w:rsidRPr="0099165E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низкий — менее или равен 5</w:t>
      </w:r>
    </w:p>
    <w:p w:rsidR="00062454" w:rsidRPr="0099165E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повышенный — от 5 до 7</w:t>
      </w:r>
    </w:p>
    <w:p w:rsidR="00062454" w:rsidRPr="0099165E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высокий — от 7 до 14</w:t>
      </w:r>
    </w:p>
    <w:p w:rsidR="00062454" w:rsidRDefault="00062454" w:rsidP="00062454">
      <w:pPr>
        <w:pStyle w:val="a4"/>
        <w:numPr>
          <w:ilvl w:val="0"/>
          <w:numId w:val="1"/>
        </w:numPr>
        <w:jc w:val="both"/>
      </w:pPr>
      <w:r w:rsidRPr="0099165E">
        <w:rPr>
          <w:rFonts w:ascii="Times New Roman" w:eastAsia="Times New Roman" w:hAnsi="Times New Roman"/>
          <w:lang w:eastAsia="ru-RU"/>
        </w:rPr>
        <w:t>очень высокий — больше или равен 14</w:t>
      </w:r>
    </w:p>
    <w:p w:rsidR="00857952" w:rsidRPr="00857952" w:rsidRDefault="00857952" w:rsidP="000D459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57952" w:rsidRPr="00857952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62454"/>
    <w:rsid w:val="000D4598"/>
    <w:rsid w:val="001C5FF5"/>
    <w:rsid w:val="001C67AC"/>
    <w:rsid w:val="001F2FB1"/>
    <w:rsid w:val="002101E6"/>
    <w:rsid w:val="00255C61"/>
    <w:rsid w:val="002B77FE"/>
    <w:rsid w:val="002D1563"/>
    <w:rsid w:val="00304264"/>
    <w:rsid w:val="00337161"/>
    <w:rsid w:val="00384BA5"/>
    <w:rsid w:val="003C1337"/>
    <w:rsid w:val="003C1C99"/>
    <w:rsid w:val="003F6292"/>
    <w:rsid w:val="00463B6E"/>
    <w:rsid w:val="00473C8B"/>
    <w:rsid w:val="00514981"/>
    <w:rsid w:val="00572978"/>
    <w:rsid w:val="0057515B"/>
    <w:rsid w:val="005A617D"/>
    <w:rsid w:val="00614BA0"/>
    <w:rsid w:val="00622647"/>
    <w:rsid w:val="006261D2"/>
    <w:rsid w:val="006B4A74"/>
    <w:rsid w:val="006D7DFA"/>
    <w:rsid w:val="0072592A"/>
    <w:rsid w:val="0079469B"/>
    <w:rsid w:val="007D56CA"/>
    <w:rsid w:val="008031D1"/>
    <w:rsid w:val="00857952"/>
    <w:rsid w:val="00866657"/>
    <w:rsid w:val="00881646"/>
    <w:rsid w:val="00884D03"/>
    <w:rsid w:val="008B1D09"/>
    <w:rsid w:val="00935831"/>
    <w:rsid w:val="00937CD6"/>
    <w:rsid w:val="00986AA6"/>
    <w:rsid w:val="0099165E"/>
    <w:rsid w:val="009C0AE4"/>
    <w:rsid w:val="009E40B6"/>
    <w:rsid w:val="00A94606"/>
    <w:rsid w:val="00B13223"/>
    <w:rsid w:val="00BB2969"/>
    <w:rsid w:val="00BB73FD"/>
    <w:rsid w:val="00BC4A2F"/>
    <w:rsid w:val="00C25965"/>
    <w:rsid w:val="00C9471C"/>
    <w:rsid w:val="00CC6999"/>
    <w:rsid w:val="00D30AF1"/>
    <w:rsid w:val="00D829A6"/>
    <w:rsid w:val="00E01202"/>
    <w:rsid w:val="00E02042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6</cp:revision>
  <cp:lastPrinted>2025-11-26T14:55:00Z</cp:lastPrinted>
  <dcterms:created xsi:type="dcterms:W3CDTF">2026-02-05T10:50:00Z</dcterms:created>
  <dcterms:modified xsi:type="dcterms:W3CDTF">2026-02-12T11:27:00Z</dcterms:modified>
</cp:coreProperties>
</file>