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E4" w:rsidRPr="00422266" w:rsidRDefault="009C0AE4" w:rsidP="0079469B">
      <w:pPr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42226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Заключение </w:t>
      </w:r>
    </w:p>
    <w:p w:rsidR="00C9471C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 период наблюдений случаев высокого загрязнения (ВЗ) и экстремально высокого загрязнения (ЭВЗ) атмосферного воздуха зафиксировано не было.</w:t>
      </w:r>
    </w:p>
    <w:p w:rsidR="00514981" w:rsidRPr="00A703D5" w:rsidRDefault="00514981" w:rsidP="00514981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Отбор проб на автоматическом стационарном посту осуществлялся в штатном режиме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br/>
        <w:t>в течение всех календарных дней непрерывно.</w:t>
      </w:r>
    </w:p>
    <w:p w:rsidR="0031466E" w:rsidRPr="00A703D5" w:rsidRDefault="00C9471C" w:rsidP="00C9471C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Подтвержденных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по диоксиду серы, оксиду углерода, диоксиду азота, </w:t>
      </w:r>
      <w:r w:rsidR="0031466E"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оксиду азота, 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аммиаку, сероводороду и пыли общей не наблюдалось. 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Выезд специалистов экологической лаборатории ООО «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Аналитик</w:t>
      </w:r>
      <w:proofErr w:type="gram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.Л</w:t>
      </w:r>
      <w:proofErr w:type="gram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аб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» на территорию города</w:t>
      </w:r>
      <w:r w:rsidR="00D303C7">
        <w:rPr>
          <w:rFonts w:ascii="Times New Roman" w:eastAsia="Times New Roman" w:hAnsi="Times New Roman"/>
          <w:sz w:val="24"/>
          <w:szCs w:val="24"/>
          <w:lang w:eastAsia="ru-RU"/>
        </w:rPr>
        <w:t xml:space="preserve"> Пикалево был проведен 26 февраля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2026 года по адресу Ленинградская область,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Бокситогорский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г. Пикалево, ул. Заводская д. 2. По полученным данным экспедиционного наблюдения, случаев превышения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ПДКм.р</w:t>
      </w:r>
      <w:proofErr w:type="spell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. по диоксиду серы, оксиду углерода, оксиду азота, диоксиду азота, аммиаку, сероводороду и взвешенным вещества</w:t>
      </w:r>
      <w:r w:rsidR="005B5D7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 не выявлено.</w:t>
      </w:r>
    </w:p>
    <w:p w:rsidR="00281EA4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Концентрации измеряемых веществ в анализируемом массиве данных по атмосферному воздуху были ниже соответствующих </w:t>
      </w:r>
      <w:proofErr w:type="spell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ПДКс.</w:t>
      </w:r>
      <w:proofErr w:type="gramStart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spellEnd"/>
      <w:proofErr w:type="gramEnd"/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В этом диапазоне погрешности газоанализаторов очень велики по отношению к значению полученного результата измерений. Это необходимо учитывать при проведении анализа, так как возрастает степень влияния случайных факторов, порождающих погрешности измерений, на получаемые результаты.</w:t>
      </w:r>
    </w:p>
    <w:p w:rsidR="0031466E" w:rsidRPr="00A703D5" w:rsidRDefault="0031466E" w:rsidP="0031466E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3D5">
        <w:rPr>
          <w:rFonts w:ascii="Times New Roman" w:eastAsia="Times New Roman" w:hAnsi="Times New Roman"/>
          <w:sz w:val="24"/>
          <w:szCs w:val="24"/>
          <w:lang w:eastAsia="ru-RU"/>
        </w:rPr>
        <w:t>На основании всех полученных за исследуемый период данных, степень загрязнения атмосферного воздуха в районе размещения стационарного поста может быть охарактеризована, как «низкая».</w:t>
      </w:r>
    </w:p>
    <w:p w:rsidR="00304264" w:rsidRDefault="00304264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03D5" w:rsidRPr="00B57E37" w:rsidRDefault="00A703D5" w:rsidP="00A703D5">
      <w:pPr>
        <w:spacing w:line="276" w:lineRule="auto"/>
        <w:rPr>
          <w:rFonts w:ascii="Times New Roman" w:hAnsi="Times New Roman"/>
          <w:sz w:val="24"/>
          <w:szCs w:val="24"/>
        </w:rPr>
      </w:pPr>
      <w:r w:rsidRPr="00B57E37">
        <w:rPr>
          <w:rFonts w:ascii="Times New Roman" w:hAnsi="Times New Roman"/>
          <w:sz w:val="24"/>
          <w:szCs w:val="24"/>
        </w:rPr>
        <w:t>Характеристика загрязненности воздуха на посту</w:t>
      </w:r>
    </w:p>
    <w:tbl>
      <w:tblPr>
        <w:tblW w:w="8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0"/>
        <w:gridCol w:w="1990"/>
        <w:gridCol w:w="1766"/>
      </w:tblGrid>
      <w:tr w:rsidR="00D303C7" w:rsidRPr="00B57E37" w:rsidTr="000D12C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3C7" w:rsidRPr="009F54B6" w:rsidRDefault="00F01DD2" w:rsidP="000D12C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Город </w:t>
            </w:r>
            <w:r w:rsidR="00D303C7"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- </w:t>
            </w:r>
            <w:r w:rsidR="00D30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Пикалево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3C7" w:rsidRPr="009F54B6" w:rsidRDefault="00F01DD2" w:rsidP="000D12C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  <w:r w:rsidR="00D303C7"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202</w:t>
            </w:r>
            <w:r w:rsidR="00D30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03C7" w:rsidRPr="009F54B6" w:rsidRDefault="003436E7" w:rsidP="000D12C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Месяц  </w:t>
            </w:r>
            <w:r w:rsidR="00D303C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 февраль</w:t>
            </w:r>
          </w:p>
        </w:tc>
      </w:tr>
      <w:tr w:rsidR="00D303C7" w:rsidRPr="00B57E37" w:rsidTr="000D12C9">
        <w:trPr>
          <w:trHeight w:val="20"/>
          <w:jc w:val="center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3C7" w:rsidRPr="00B57E37" w:rsidRDefault="00D303C7" w:rsidP="000D12C9">
            <w:pPr>
              <w:jc w:val="left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spellStart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SkatStantion2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43</w:t>
            </w:r>
            <w:proofErr w:type="spellEnd"/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Пикалево</w:t>
            </w:r>
            <w:r w:rsidRPr="00B57E3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) (GMT +3)</w:t>
            </w:r>
          </w:p>
        </w:tc>
        <w:tc>
          <w:tcPr>
            <w:tcW w:w="3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3C7" w:rsidRPr="009F54B6" w:rsidRDefault="00D303C7" w:rsidP="000D12C9">
            <w:pPr>
              <w:jc w:val="lef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9F54B6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Количество постов в городе 1</w:t>
            </w:r>
          </w:p>
        </w:tc>
      </w:tr>
    </w:tbl>
    <w:p w:rsidR="00D303C7" w:rsidRPr="00D303C7" w:rsidRDefault="00D303C7" w:rsidP="00D303C7">
      <w:pPr>
        <w:spacing w:after="200" w:line="276" w:lineRule="auto"/>
        <w:jc w:val="left"/>
        <w:rPr>
          <w:rFonts w:ascii="Times New Roman" w:hAnsi="Times New Roman"/>
          <w:sz w:val="1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49"/>
        <w:gridCol w:w="849"/>
        <w:gridCol w:w="995"/>
        <w:gridCol w:w="705"/>
        <w:gridCol w:w="709"/>
        <w:gridCol w:w="855"/>
        <w:gridCol w:w="943"/>
        <w:gridCol w:w="615"/>
        <w:gridCol w:w="582"/>
        <w:gridCol w:w="411"/>
        <w:gridCol w:w="567"/>
        <w:gridCol w:w="567"/>
        <w:gridCol w:w="816"/>
      </w:tblGrid>
      <w:tr w:rsidR="00D303C7" w:rsidRPr="00BB1015" w:rsidTr="00815BE4">
        <w:trPr>
          <w:trHeight w:val="20"/>
        </w:trPr>
        <w:tc>
          <w:tcPr>
            <w:tcW w:w="993" w:type="dxa"/>
            <w:vMerge w:val="restart"/>
            <w:vAlign w:val="center"/>
          </w:tcPr>
          <w:p w:rsidR="00D303C7" w:rsidRPr="00BB1015" w:rsidRDefault="00D303C7" w:rsidP="000D12C9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Шифр примеси</w:t>
            </w:r>
          </w:p>
        </w:tc>
        <w:tc>
          <w:tcPr>
            <w:tcW w:w="849" w:type="dxa"/>
            <w:vMerge w:val="restart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Число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наблю-дений</w:t>
            </w:r>
            <w:proofErr w:type="spellEnd"/>
            <w:proofErr w:type="gramEnd"/>
          </w:p>
        </w:tc>
        <w:tc>
          <w:tcPr>
            <w:tcW w:w="3258" w:type="dxa"/>
            <w:gridSpan w:val="4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Концентрация,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D303C7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855" w:type="dxa"/>
            <w:vMerge w:val="restart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квадра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кое </w:t>
            </w: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откло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нение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мг/</w:t>
            </w:r>
            <w:proofErr w:type="spellStart"/>
            <w:r w:rsidRPr="00BB1015">
              <w:rPr>
                <w:rFonts w:ascii="Times New Roman" w:hAnsi="Times New Roman"/>
                <w:sz w:val="18"/>
                <w:szCs w:val="18"/>
              </w:rPr>
              <w:t>м</w:t>
            </w:r>
            <w:r w:rsidRPr="00D303C7">
              <w:rPr>
                <w:rFonts w:ascii="Times New Roman" w:hAnsi="Times New Roman"/>
                <w:sz w:val="18"/>
                <w:szCs w:val="18"/>
                <w:vertAlign w:val="superscript"/>
              </w:rPr>
              <w:t>3</w:t>
            </w:r>
            <w:proofErr w:type="spellEnd"/>
          </w:p>
        </w:tc>
        <w:tc>
          <w:tcPr>
            <w:tcW w:w="943" w:type="dxa"/>
            <w:vMerge w:val="restart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Коэффи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циент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 xml:space="preserve"> вариации</w:t>
            </w:r>
          </w:p>
        </w:tc>
        <w:tc>
          <w:tcPr>
            <w:tcW w:w="1197" w:type="dxa"/>
            <w:gridSpan w:val="2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BB1015">
              <w:rPr>
                <w:rFonts w:ascii="Times New Roman" w:hAnsi="Times New Roman"/>
                <w:sz w:val="18"/>
                <w:szCs w:val="18"/>
              </w:rPr>
              <w:t>Повторяе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мость</w:t>
            </w:r>
            <w:proofErr w:type="spellEnd"/>
            <w:proofErr w:type="gramEnd"/>
            <w:r w:rsidRPr="00BB1015">
              <w:rPr>
                <w:rFonts w:ascii="Times New Roman" w:hAnsi="Times New Roman"/>
                <w:sz w:val="18"/>
                <w:szCs w:val="18"/>
              </w:rPr>
              <w:t>, %</w:t>
            </w:r>
          </w:p>
        </w:tc>
        <w:tc>
          <w:tcPr>
            <w:tcW w:w="1545" w:type="dxa"/>
            <w:gridSpan w:val="3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Число случаев превышения ПДК</w:t>
            </w:r>
          </w:p>
        </w:tc>
        <w:tc>
          <w:tcPr>
            <w:tcW w:w="816" w:type="dxa"/>
            <w:vMerge w:val="restart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ИЗА</w:t>
            </w: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</w:tc>
        <w:tc>
          <w:tcPr>
            <w:tcW w:w="2409" w:type="dxa"/>
            <w:gridSpan w:val="3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максимальная</w:t>
            </w:r>
          </w:p>
        </w:tc>
        <w:tc>
          <w:tcPr>
            <w:tcW w:w="855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vAlign w:val="center"/>
          </w:tcPr>
          <w:p w:rsidR="00D303C7" w:rsidRDefault="00D303C7" w:rsidP="000D12C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</w:p>
          <w:p w:rsidR="00D303C7" w:rsidRPr="00BB1015" w:rsidRDefault="00D303C7" w:rsidP="000D12C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82" w:type="dxa"/>
            <w:vMerge w:val="restart"/>
            <w:vAlign w:val="center"/>
          </w:tcPr>
          <w:p w:rsidR="00D303C7" w:rsidRPr="00BB1015" w:rsidRDefault="00D303C7" w:rsidP="000D12C9">
            <w:pPr>
              <w:ind w:right="-97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&gt;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 xml:space="preserve"> 5 ПДК</w:t>
            </w:r>
          </w:p>
        </w:tc>
        <w:tc>
          <w:tcPr>
            <w:tcW w:w="411" w:type="dxa"/>
            <w:vMerge w:val="restart"/>
            <w:vAlign w:val="center"/>
          </w:tcPr>
          <w:p w:rsidR="00D303C7" w:rsidRPr="00BB1015" w:rsidRDefault="00D303C7" w:rsidP="000D12C9">
            <w:pPr>
              <w:ind w:left="-119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7" w:type="dxa"/>
            <w:vMerge w:val="restart"/>
            <w:vAlign w:val="center"/>
          </w:tcPr>
          <w:p w:rsidR="00D303C7" w:rsidRDefault="00D303C7" w:rsidP="000D12C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5 </w:t>
            </w:r>
          </w:p>
          <w:p w:rsidR="00D303C7" w:rsidRPr="00BB1015" w:rsidRDefault="00D303C7" w:rsidP="000D12C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567" w:type="dxa"/>
            <w:vMerge w:val="restart"/>
            <w:vAlign w:val="center"/>
          </w:tcPr>
          <w:p w:rsidR="00D303C7" w:rsidRDefault="00D303C7" w:rsidP="000D12C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 xml:space="preserve">10 </w:t>
            </w:r>
          </w:p>
          <w:p w:rsidR="00D303C7" w:rsidRPr="00BB1015" w:rsidRDefault="00D303C7" w:rsidP="000D12C9">
            <w:pPr>
              <w:ind w:left="-108" w:right="-19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ПДК</w:t>
            </w:r>
          </w:p>
        </w:tc>
        <w:tc>
          <w:tcPr>
            <w:tcW w:w="816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9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5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705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709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855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16" w:type="dxa"/>
            <w:vMerge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Пыль общая (001)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0,054</w:t>
            </w:r>
          </w:p>
        </w:tc>
        <w:tc>
          <w:tcPr>
            <w:tcW w:w="99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0,22</w:t>
            </w:r>
          </w:p>
        </w:tc>
        <w:tc>
          <w:tcPr>
            <w:tcW w:w="70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70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1040 1120</w:t>
            </w:r>
          </w:p>
        </w:tc>
        <w:tc>
          <w:tcPr>
            <w:tcW w:w="855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0,0201</w:t>
            </w:r>
          </w:p>
        </w:tc>
        <w:tc>
          <w:tcPr>
            <w:tcW w:w="943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61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0,36</w:t>
            </w: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SO</w:t>
            </w:r>
            <w:r w:rsidRPr="00D303C7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2)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0,0004</w:t>
            </w:r>
          </w:p>
        </w:tc>
        <w:tc>
          <w:tcPr>
            <w:tcW w:w="99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0,033</w:t>
            </w:r>
          </w:p>
        </w:tc>
        <w:tc>
          <w:tcPr>
            <w:tcW w:w="70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70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2120</w:t>
            </w:r>
          </w:p>
        </w:tc>
        <w:tc>
          <w:tcPr>
            <w:tcW w:w="855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0,0015</w:t>
            </w:r>
          </w:p>
        </w:tc>
        <w:tc>
          <w:tcPr>
            <w:tcW w:w="943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4,04</w:t>
            </w:r>
          </w:p>
        </w:tc>
        <w:tc>
          <w:tcPr>
            <w:tcW w:w="61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CO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004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0,63</w:t>
            </w:r>
          </w:p>
        </w:tc>
        <w:tc>
          <w:tcPr>
            <w:tcW w:w="99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70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70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820</w:t>
            </w:r>
          </w:p>
        </w:tc>
        <w:tc>
          <w:tcPr>
            <w:tcW w:w="855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0,2306</w:t>
            </w:r>
          </w:p>
        </w:tc>
        <w:tc>
          <w:tcPr>
            <w:tcW w:w="943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0,37</w:t>
            </w:r>
          </w:p>
        </w:tc>
        <w:tc>
          <w:tcPr>
            <w:tcW w:w="61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0,27</w:t>
            </w: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Align w:val="center"/>
          </w:tcPr>
          <w:p w:rsidR="00D303C7" w:rsidRPr="00BB1015" w:rsidRDefault="00D303C7" w:rsidP="000D12C9">
            <w:pPr>
              <w:ind w:left="-108" w:right="-108"/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</w:t>
            </w:r>
            <w:r w:rsidRPr="00D303C7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005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9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0,121</w:t>
            </w:r>
          </w:p>
        </w:tc>
        <w:tc>
          <w:tcPr>
            <w:tcW w:w="70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24.02</w:t>
            </w:r>
          </w:p>
        </w:tc>
        <w:tc>
          <w:tcPr>
            <w:tcW w:w="70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940</w:t>
            </w:r>
          </w:p>
        </w:tc>
        <w:tc>
          <w:tcPr>
            <w:tcW w:w="855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0,0151</w:t>
            </w:r>
          </w:p>
        </w:tc>
        <w:tc>
          <w:tcPr>
            <w:tcW w:w="943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1,04</w:t>
            </w:r>
          </w:p>
        </w:tc>
        <w:tc>
          <w:tcPr>
            <w:tcW w:w="61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0,14</w:t>
            </w: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Align w:val="center"/>
          </w:tcPr>
          <w:p w:rsidR="00D303C7" w:rsidRPr="00BB1015" w:rsidRDefault="00D303C7" w:rsidP="000D12C9">
            <w:pPr>
              <w:ind w:left="-108" w:right="-108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NO (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006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0,004</w:t>
            </w:r>
          </w:p>
        </w:tc>
        <w:tc>
          <w:tcPr>
            <w:tcW w:w="99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0,141</w:t>
            </w:r>
          </w:p>
        </w:tc>
        <w:tc>
          <w:tcPr>
            <w:tcW w:w="70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15.02</w:t>
            </w:r>
          </w:p>
        </w:tc>
        <w:tc>
          <w:tcPr>
            <w:tcW w:w="70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2140</w:t>
            </w:r>
          </w:p>
        </w:tc>
        <w:tc>
          <w:tcPr>
            <w:tcW w:w="855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0,0146</w:t>
            </w:r>
          </w:p>
        </w:tc>
        <w:tc>
          <w:tcPr>
            <w:tcW w:w="943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3,42</w:t>
            </w:r>
          </w:p>
        </w:tc>
        <w:tc>
          <w:tcPr>
            <w:tcW w:w="61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0,07</w:t>
            </w: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H</w:t>
            </w:r>
            <w:r w:rsidRPr="00D303C7">
              <w:rPr>
                <w:rFonts w:ascii="Times New Roman" w:hAnsi="Times New Roman"/>
                <w:sz w:val="18"/>
                <w:szCs w:val="18"/>
                <w:vertAlign w:val="subscript"/>
                <w:lang w:val="en-US"/>
              </w:rPr>
              <w:t>2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S (00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8</w:t>
            </w:r>
            <w:r w:rsidRPr="00BB1015">
              <w:rPr>
                <w:rFonts w:ascii="Times New Roman" w:hAnsi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D303C7">
            <w:pPr>
              <w:ind w:right="-108" w:hanging="141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9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0,0012</w:t>
            </w:r>
          </w:p>
        </w:tc>
        <w:tc>
          <w:tcPr>
            <w:tcW w:w="70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26.02</w:t>
            </w:r>
          </w:p>
        </w:tc>
        <w:tc>
          <w:tcPr>
            <w:tcW w:w="70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2120</w:t>
            </w:r>
          </w:p>
        </w:tc>
        <w:tc>
          <w:tcPr>
            <w:tcW w:w="855" w:type="dxa"/>
            <w:vAlign w:val="center"/>
          </w:tcPr>
          <w:p w:rsidR="00D303C7" w:rsidRPr="00DD591D" w:rsidRDefault="00D303C7" w:rsidP="00D303C7">
            <w:pPr>
              <w:ind w:right="-108" w:hanging="138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0,0002</w:t>
            </w:r>
          </w:p>
        </w:tc>
        <w:tc>
          <w:tcPr>
            <w:tcW w:w="943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1,01</w:t>
            </w:r>
          </w:p>
        </w:tc>
        <w:tc>
          <w:tcPr>
            <w:tcW w:w="61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vAlign w:val="center"/>
          </w:tcPr>
          <w:p w:rsidR="00D303C7" w:rsidRPr="00DD591D" w:rsidRDefault="00D303C7" w:rsidP="00D303C7">
            <w:pPr>
              <w:ind w:right="-108" w:hanging="142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0,05</w:t>
            </w:r>
          </w:p>
        </w:tc>
      </w:tr>
      <w:tr w:rsidR="00D303C7" w:rsidRPr="00BB1015" w:rsidTr="00815BE4">
        <w:trPr>
          <w:trHeight w:val="20"/>
        </w:trPr>
        <w:tc>
          <w:tcPr>
            <w:tcW w:w="993" w:type="dxa"/>
            <w:vAlign w:val="center"/>
          </w:tcPr>
          <w:p w:rsidR="00D303C7" w:rsidRPr="00BB1015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BB1015">
              <w:rPr>
                <w:rFonts w:ascii="Times New Roman" w:hAnsi="Times New Roman"/>
                <w:sz w:val="18"/>
                <w:szCs w:val="18"/>
              </w:rPr>
              <w:t>NH</w:t>
            </w:r>
            <w:r w:rsidRPr="00D303C7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B1015">
              <w:rPr>
                <w:rFonts w:ascii="Times New Roman" w:hAnsi="Times New Roman"/>
                <w:sz w:val="18"/>
                <w:szCs w:val="18"/>
              </w:rPr>
              <w:t>(019)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2016</w:t>
            </w:r>
          </w:p>
        </w:tc>
        <w:tc>
          <w:tcPr>
            <w:tcW w:w="849" w:type="dxa"/>
            <w:vAlign w:val="center"/>
          </w:tcPr>
          <w:p w:rsidR="00D303C7" w:rsidRPr="00DD591D" w:rsidRDefault="00D303C7" w:rsidP="00D303C7">
            <w:pPr>
              <w:ind w:hanging="141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 </w:t>
            </w: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0,0005</w:t>
            </w:r>
          </w:p>
        </w:tc>
        <w:tc>
          <w:tcPr>
            <w:tcW w:w="99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70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16.02</w:t>
            </w:r>
          </w:p>
        </w:tc>
        <w:tc>
          <w:tcPr>
            <w:tcW w:w="709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1300</w:t>
            </w:r>
          </w:p>
        </w:tc>
        <w:tc>
          <w:tcPr>
            <w:tcW w:w="855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0,0020</w:t>
            </w:r>
          </w:p>
        </w:tc>
        <w:tc>
          <w:tcPr>
            <w:tcW w:w="943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3,78</w:t>
            </w:r>
          </w:p>
        </w:tc>
        <w:tc>
          <w:tcPr>
            <w:tcW w:w="615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82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411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:rsidR="00D303C7" w:rsidRPr="00DD591D" w:rsidRDefault="00D303C7" w:rsidP="000D12C9">
            <w:pPr>
              <w:rPr>
                <w:rFonts w:ascii="Times New Roman" w:hAnsi="Times New Roman"/>
                <w:sz w:val="18"/>
                <w:szCs w:val="18"/>
              </w:rPr>
            </w:pPr>
            <w:r w:rsidRPr="00DD591D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16" w:type="dxa"/>
            <w:vAlign w:val="center"/>
          </w:tcPr>
          <w:p w:rsidR="00D303C7" w:rsidRPr="00DD591D" w:rsidRDefault="00D303C7" w:rsidP="000D12C9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D591D">
              <w:rPr>
                <w:rFonts w:ascii="Times New Roman" w:eastAsia="Times New Roman" w:hAnsi="Times New Roman"/>
                <w:sz w:val="18"/>
                <w:szCs w:val="18"/>
              </w:rPr>
              <w:t>0,01</w:t>
            </w:r>
          </w:p>
        </w:tc>
      </w:tr>
      <w:tr w:rsidR="00D303C7" w:rsidRPr="00BB1015" w:rsidTr="00815BE4">
        <w:trPr>
          <w:trHeight w:val="20"/>
        </w:trPr>
        <w:tc>
          <w:tcPr>
            <w:tcW w:w="10456" w:type="dxa"/>
            <w:gridSpan w:val="14"/>
            <w:vAlign w:val="center"/>
          </w:tcPr>
          <w:p w:rsidR="00D303C7" w:rsidRPr="00323A7F" w:rsidRDefault="00D303C7" w:rsidP="00281EA4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СИ (диоксид азота) – 0,61       НП &lt;1 </w:t>
            </w:r>
            <w:r w:rsidR="00045E2C">
              <w:rPr>
                <w:rFonts w:ascii="Times New Roman" w:eastAsia="Times New Roman" w:hAnsi="Times New Roman"/>
                <w:b/>
                <w:sz w:val="18"/>
                <w:szCs w:val="18"/>
              </w:rPr>
              <w:t xml:space="preserve">       </w:t>
            </w:r>
            <w:r w:rsidRPr="00323A7F">
              <w:rPr>
                <w:rFonts w:ascii="Times New Roman" w:eastAsia="Times New Roman" w:hAnsi="Times New Roman"/>
                <w:b/>
                <w:sz w:val="18"/>
                <w:szCs w:val="18"/>
              </w:rPr>
              <w:t>Уровень загрязнения: низкий</w:t>
            </w:r>
          </w:p>
        </w:tc>
      </w:tr>
    </w:tbl>
    <w:p w:rsidR="00D303C7" w:rsidRDefault="00D303C7" w:rsidP="00A703D5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70490" w:rsidRPr="00D303C7" w:rsidRDefault="00370490" w:rsidP="00370490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2438">
        <w:rPr>
          <w:rFonts w:ascii="Times New Roman" w:eastAsia="Times New Roman" w:hAnsi="Times New Roman"/>
          <w:lang w:eastAsia="ru-RU"/>
        </w:rPr>
        <w:t xml:space="preserve">* </w:t>
      </w: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ИЗА – индекс загрязнения атмосферы. В зависимости от значения ИЗА выделяют следующие уровни загрязнения воздуха: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низкий — менее или равен 5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повышенный — от 5 до 7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высокий — от 7 до 14</w:t>
      </w:r>
    </w:p>
    <w:p w:rsidR="00370490" w:rsidRPr="00D303C7" w:rsidRDefault="00370490" w:rsidP="00370490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 w:rsidRPr="00D303C7">
        <w:rPr>
          <w:rFonts w:ascii="Times New Roman" w:eastAsia="Times New Roman" w:hAnsi="Times New Roman"/>
          <w:sz w:val="24"/>
          <w:szCs w:val="24"/>
          <w:lang w:eastAsia="ru-RU"/>
        </w:rPr>
        <w:t>очень высокий — больше или равен 14</w:t>
      </w:r>
    </w:p>
    <w:p w:rsidR="00A703D5" w:rsidRDefault="00A703D5" w:rsidP="007D56CA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703D5" w:rsidSect="0079469B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4BDF"/>
    <w:multiLevelType w:val="hybridMultilevel"/>
    <w:tmpl w:val="89F895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1B5A9E"/>
    <w:multiLevelType w:val="hybridMultilevel"/>
    <w:tmpl w:val="5672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4"/>
    <w:rsid w:val="00020291"/>
    <w:rsid w:val="000353A4"/>
    <w:rsid w:val="00045E2C"/>
    <w:rsid w:val="00056015"/>
    <w:rsid w:val="000935E2"/>
    <w:rsid w:val="000D4598"/>
    <w:rsid w:val="001C5FF5"/>
    <w:rsid w:val="001C67AC"/>
    <w:rsid w:val="001F2FB1"/>
    <w:rsid w:val="002101E6"/>
    <w:rsid w:val="00255C61"/>
    <w:rsid w:val="00281EA4"/>
    <w:rsid w:val="002B77FE"/>
    <w:rsid w:val="002D1563"/>
    <w:rsid w:val="00304264"/>
    <w:rsid w:val="0031466E"/>
    <w:rsid w:val="00337161"/>
    <w:rsid w:val="003436E7"/>
    <w:rsid w:val="00370490"/>
    <w:rsid w:val="00384BA5"/>
    <w:rsid w:val="003C1337"/>
    <w:rsid w:val="003C1C99"/>
    <w:rsid w:val="003F6292"/>
    <w:rsid w:val="00463B6E"/>
    <w:rsid w:val="00473C8B"/>
    <w:rsid w:val="00514981"/>
    <w:rsid w:val="00572978"/>
    <w:rsid w:val="0057515B"/>
    <w:rsid w:val="005A617D"/>
    <w:rsid w:val="005B5D77"/>
    <w:rsid w:val="00614BA0"/>
    <w:rsid w:val="00622647"/>
    <w:rsid w:val="006261D2"/>
    <w:rsid w:val="006848C6"/>
    <w:rsid w:val="006B4A74"/>
    <w:rsid w:val="006D7DFA"/>
    <w:rsid w:val="0072592A"/>
    <w:rsid w:val="0079469B"/>
    <w:rsid w:val="007D56CA"/>
    <w:rsid w:val="008031D1"/>
    <w:rsid w:val="00815BE4"/>
    <w:rsid w:val="00857952"/>
    <w:rsid w:val="00866657"/>
    <w:rsid w:val="00881646"/>
    <w:rsid w:val="00884D03"/>
    <w:rsid w:val="008B1D09"/>
    <w:rsid w:val="00935831"/>
    <w:rsid w:val="00937CD6"/>
    <w:rsid w:val="00986AA6"/>
    <w:rsid w:val="0099165E"/>
    <w:rsid w:val="009C0AE4"/>
    <w:rsid w:val="009E40B6"/>
    <w:rsid w:val="00A703D5"/>
    <w:rsid w:val="00A94606"/>
    <w:rsid w:val="00B13223"/>
    <w:rsid w:val="00BB2969"/>
    <w:rsid w:val="00BB73FD"/>
    <w:rsid w:val="00BC4A2F"/>
    <w:rsid w:val="00C25965"/>
    <w:rsid w:val="00C9471C"/>
    <w:rsid w:val="00CC6999"/>
    <w:rsid w:val="00D303C7"/>
    <w:rsid w:val="00D30AF1"/>
    <w:rsid w:val="00D829A6"/>
    <w:rsid w:val="00E01202"/>
    <w:rsid w:val="00E02042"/>
    <w:rsid w:val="00E26EC6"/>
    <w:rsid w:val="00E82438"/>
    <w:rsid w:val="00F01DD2"/>
    <w:rsid w:val="00F9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AE4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65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30AF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0AF1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0AF1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0AF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0AF1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30AF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0AF1"/>
    <w:rPr>
      <w:rFonts w:ascii="Segoe UI" w:eastAsia="Calibr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946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94606"/>
    <w:pPr>
      <w:widowControl w:val="0"/>
      <w:autoSpaceDE w:val="0"/>
      <w:autoSpaceDN w:val="0"/>
      <w:spacing w:before="112" w:line="170" w:lineRule="exact"/>
      <w:ind w:left="107"/>
      <w:jc w:val="left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8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Сахарова</dc:creator>
  <cp:lastModifiedBy>Кузнецова Юлия Сергеевна</cp:lastModifiedBy>
  <cp:revision>11</cp:revision>
  <cp:lastPrinted>2025-11-26T14:55:00Z</cp:lastPrinted>
  <dcterms:created xsi:type="dcterms:W3CDTF">2026-03-05T15:46:00Z</dcterms:created>
  <dcterms:modified xsi:type="dcterms:W3CDTF">2026-03-12T13:54:00Z</dcterms:modified>
</cp:coreProperties>
</file>