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56791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воздуха зафиксировано не было.</w:t>
      </w:r>
    </w:p>
    <w:p w:rsidR="000F4056" w:rsidRDefault="000F4056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посту осуществлялся в течение всех календарных дней с последующим осреднением данных за 20 минут и за сутки. 24 марта 2026 года в период с 02:20 до 04:20 наблюдались перебои с передачей данных по всем датчикам. Далее передача осуществлялась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в штатном режиме. </w:t>
      </w:r>
    </w:p>
    <w:p w:rsidR="000F4056" w:rsidRDefault="000F4056" w:rsidP="000F405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ПДКм.р. по диоксиду серы, оксиду углерода, диоксиду азота, оксиду азота, аммиаку, сероводороду и </w:t>
      </w:r>
      <w:r w:rsidR="00BB3852" w:rsidRPr="007E508C">
        <w:rPr>
          <w:rFonts w:ascii="Times New Roman" w:hAnsi="Times New Roman"/>
          <w:sz w:val="24"/>
          <w:szCs w:val="24"/>
        </w:rPr>
        <w:t>аэрозольным частицам различного происхождения (общая пыль)</w:t>
      </w:r>
      <w:r w:rsidR="00BB3852">
        <w:rPr>
          <w:rFonts w:ascii="Times New Roman" w:hAnsi="Times New Roman"/>
          <w:sz w:val="24"/>
          <w:szCs w:val="24"/>
        </w:rPr>
        <w:t xml:space="preserve">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не наблюдалось.</w:t>
      </w:r>
    </w:p>
    <w:p w:rsidR="000F4056" w:rsidRPr="00A703D5" w:rsidRDefault="000F4056" w:rsidP="000F405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получаемые результаты.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7919" w:rsidRDefault="000F4056" w:rsidP="0056791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Выезд мобильной лаборатории ФГБУ «Северо-Западное УГМС» </w:t>
      </w:r>
      <w:r w:rsidR="00E25F2C"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территорию </w:t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>города Сланцы</w:t>
      </w:r>
      <w:r w:rsidR="00E25F2C"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</w:t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BF7EA7"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="002E78C5"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 2026 </w:t>
      </w:r>
      <w:r w:rsidR="00E25F2C" w:rsidRPr="000F4056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0F405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B3852" w:rsidRPr="00A703D5">
        <w:rPr>
          <w:rFonts w:ascii="Times New Roman" w:eastAsia="Times New Roman" w:hAnsi="Times New Roman"/>
          <w:sz w:val="24"/>
          <w:szCs w:val="24"/>
          <w:lang w:eastAsia="ru-RU"/>
        </w:rPr>
        <w:t>По полученным да</w:t>
      </w:r>
      <w:r w:rsidR="00BB3852">
        <w:rPr>
          <w:rFonts w:ascii="Times New Roman" w:eastAsia="Times New Roman" w:hAnsi="Times New Roman"/>
          <w:sz w:val="24"/>
          <w:szCs w:val="24"/>
          <w:lang w:eastAsia="ru-RU"/>
        </w:rPr>
        <w:t>нным экспедиционного наблюдения</w:t>
      </w:r>
      <w:r w:rsidR="00BB3852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случаев превышения ПДКм.р. по диоксиду серы, оксиду углерода, оксиду азота, диоксиду азота, аммиаку, сероводороду и взвешенным вещества</w:t>
      </w:r>
      <w:r w:rsidR="00BB385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B3852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CE3" w:rsidRPr="000F4056">
        <w:rPr>
          <w:rFonts w:ascii="Times New Roman" w:eastAsia="Times New Roman" w:hAnsi="Times New Roman"/>
          <w:sz w:val="24"/>
          <w:szCs w:val="24"/>
          <w:lang w:eastAsia="ru-RU"/>
        </w:rPr>
        <w:t>не выявлено.</w:t>
      </w:r>
    </w:p>
    <w:p w:rsidR="000F4056" w:rsidRPr="004D38F7" w:rsidRDefault="000F4056" w:rsidP="004D38F7">
      <w:pPr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как «низкая».</w:t>
      </w:r>
      <w:bookmarkStart w:id="0" w:name="_GoBack"/>
      <w:bookmarkEnd w:id="0"/>
    </w:p>
    <w:p w:rsidR="000F4056" w:rsidRDefault="000F4056" w:rsidP="000F405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F2C" w:rsidRPr="00B57E37" w:rsidRDefault="00E25F2C" w:rsidP="00E25F2C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BE5ECB" w:rsidRPr="00BE5ECB" w:rsidRDefault="00BE5ECB" w:rsidP="00BE5ECB">
      <w:pPr>
        <w:spacing w:after="200" w:line="276" w:lineRule="auto"/>
        <w:jc w:val="left"/>
        <w:rPr>
          <w:rFonts w:ascii="Times New Roman" w:hAnsi="Times New Roman"/>
          <w:sz w:val="8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911AE7" w:rsidTr="009F7B80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CC17A2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–</w:t>
            </w:r>
            <w:r w:rsidR="00911A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Сланцы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E7" w:rsidRDefault="00911AE7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        март</w:t>
            </w:r>
          </w:p>
        </w:tc>
      </w:tr>
      <w:tr w:rsidR="00911AE7" w:rsidTr="009F7B80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SkatStantion244 (Сланцы)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E7" w:rsidRDefault="00911AE7" w:rsidP="009F7B8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911AE7" w:rsidRDefault="00911AE7" w:rsidP="00911AE7"/>
    <w:tbl>
      <w:tblPr>
        <w:tblStyle w:val="a3"/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49"/>
        <w:gridCol w:w="849"/>
        <w:gridCol w:w="990"/>
        <w:gridCol w:w="710"/>
        <w:gridCol w:w="709"/>
        <w:gridCol w:w="881"/>
        <w:gridCol w:w="943"/>
        <w:gridCol w:w="630"/>
        <w:gridCol w:w="567"/>
        <w:gridCol w:w="560"/>
        <w:gridCol w:w="560"/>
        <w:gridCol w:w="7"/>
        <w:gridCol w:w="670"/>
        <w:gridCol w:w="691"/>
      </w:tblGrid>
      <w:tr w:rsidR="00911AE7" w:rsidRPr="00FF7EDF" w:rsidTr="00CC17A2">
        <w:trPr>
          <w:trHeight w:val="280"/>
          <w:jc w:val="center"/>
        </w:trPr>
        <w:tc>
          <w:tcPr>
            <w:tcW w:w="993" w:type="dxa"/>
            <w:vMerge w:val="restart"/>
          </w:tcPr>
          <w:p w:rsidR="00911AE7" w:rsidRPr="00FF7EDF" w:rsidRDefault="00911AE7" w:rsidP="009F7B8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9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gramEnd"/>
          </w:p>
        </w:tc>
        <w:tc>
          <w:tcPr>
            <w:tcW w:w="3258" w:type="dxa"/>
            <w:gridSpan w:val="4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Концентрация, мг/м</w:t>
            </w:r>
            <w:r w:rsidRPr="00CC17A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81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Средне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квадра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тичное </w:t>
            </w:r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откло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мг/м</w:t>
            </w:r>
            <w:r w:rsidRPr="00CC17A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3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Коэффи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97" w:type="dxa"/>
            <w:gridSpan w:val="2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Повторяе</w:t>
            </w:r>
            <w:r w:rsidR="00CC17A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797" w:type="dxa"/>
            <w:gridSpan w:val="4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691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911AE7" w:rsidRPr="00FF7EDF" w:rsidTr="00CC17A2">
        <w:trPr>
          <w:trHeight w:val="140"/>
          <w:jc w:val="center"/>
        </w:trPr>
        <w:tc>
          <w:tcPr>
            <w:tcW w:w="99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9" w:type="dxa"/>
            <w:gridSpan w:val="3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8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911AE7" w:rsidRPr="00FF7EDF" w:rsidRDefault="00911AE7" w:rsidP="009F7B80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  <w:proofErr w:type="gramEnd"/>
          </w:p>
        </w:tc>
        <w:tc>
          <w:tcPr>
            <w:tcW w:w="567" w:type="dxa"/>
            <w:vMerge w:val="restart"/>
          </w:tcPr>
          <w:p w:rsidR="00911AE7" w:rsidRPr="00FF7EDF" w:rsidRDefault="00911AE7" w:rsidP="009F7B80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560" w:type="dxa"/>
            <w:vMerge w:val="restart"/>
          </w:tcPr>
          <w:p w:rsidR="00911AE7" w:rsidRPr="00FF7EDF" w:rsidRDefault="00911AE7" w:rsidP="009F7B80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7" w:type="dxa"/>
            <w:gridSpan w:val="2"/>
            <w:vMerge w:val="restart"/>
          </w:tcPr>
          <w:p w:rsidR="00911AE7" w:rsidRPr="00FF7EDF" w:rsidRDefault="00911AE7" w:rsidP="009F7B8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670" w:type="dxa"/>
            <w:vMerge w:val="restart"/>
          </w:tcPr>
          <w:p w:rsidR="00911AE7" w:rsidRPr="00FF7EDF" w:rsidRDefault="00911AE7" w:rsidP="00CC17A2">
            <w:pPr>
              <w:ind w:left="-108" w:right="-19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10 ПДК</w:t>
            </w:r>
          </w:p>
        </w:tc>
        <w:tc>
          <w:tcPr>
            <w:tcW w:w="69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AE7" w:rsidRPr="00FF7EDF" w:rsidTr="00CC17A2">
        <w:trPr>
          <w:trHeight w:val="120"/>
          <w:jc w:val="center"/>
        </w:trPr>
        <w:tc>
          <w:tcPr>
            <w:tcW w:w="99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710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9" w:type="dxa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8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AE7" w:rsidRPr="00FF7EDF" w:rsidTr="00CC17A2">
        <w:trPr>
          <w:jc w:val="center"/>
        </w:trPr>
        <w:tc>
          <w:tcPr>
            <w:tcW w:w="993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49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2228</w:t>
            </w:r>
          </w:p>
        </w:tc>
        <w:tc>
          <w:tcPr>
            <w:tcW w:w="849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0,0660</w:t>
            </w:r>
          </w:p>
        </w:tc>
        <w:tc>
          <w:tcPr>
            <w:tcW w:w="990" w:type="dxa"/>
            <w:vAlign w:val="center"/>
          </w:tcPr>
          <w:p w:rsidR="00911AE7" w:rsidRPr="00FF7EDF" w:rsidRDefault="00CC17A2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 w:rsidR="00911AE7">
              <w:rPr>
                <w:rFonts w:ascii="Times New Roman" w:hAnsi="Times New Roman"/>
                <w:sz w:val="18"/>
                <w:szCs w:val="18"/>
              </w:rPr>
              <w:t>459</w:t>
            </w:r>
          </w:p>
        </w:tc>
        <w:tc>
          <w:tcPr>
            <w:tcW w:w="710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70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1920</w:t>
            </w:r>
          </w:p>
        </w:tc>
        <w:tc>
          <w:tcPr>
            <w:tcW w:w="881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0,0254</w:t>
            </w:r>
          </w:p>
        </w:tc>
        <w:tc>
          <w:tcPr>
            <w:tcW w:w="943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0,38</w:t>
            </w:r>
          </w:p>
        </w:tc>
        <w:tc>
          <w:tcPr>
            <w:tcW w:w="630" w:type="dxa"/>
            <w:vAlign w:val="center"/>
          </w:tcPr>
          <w:p w:rsidR="00911AE7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11AE7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911AE7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  <w:tr w:rsidR="00911AE7" w:rsidRPr="00FF7EDF" w:rsidTr="00CC17A2">
        <w:trPr>
          <w:jc w:val="center"/>
        </w:trPr>
        <w:tc>
          <w:tcPr>
            <w:tcW w:w="993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SO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849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E151D0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49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0,0010</w:t>
            </w:r>
          </w:p>
        </w:tc>
        <w:tc>
          <w:tcPr>
            <w:tcW w:w="99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0,030</w:t>
            </w:r>
          </w:p>
        </w:tc>
        <w:tc>
          <w:tcPr>
            <w:tcW w:w="710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30.03</w:t>
            </w:r>
          </w:p>
        </w:tc>
        <w:tc>
          <w:tcPr>
            <w:tcW w:w="70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</w:t>
            </w:r>
          </w:p>
        </w:tc>
        <w:tc>
          <w:tcPr>
            <w:tcW w:w="881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0,0017</w:t>
            </w:r>
          </w:p>
        </w:tc>
        <w:tc>
          <w:tcPr>
            <w:tcW w:w="943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1,70</w:t>
            </w:r>
          </w:p>
        </w:tc>
        <w:tc>
          <w:tcPr>
            <w:tcW w:w="63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911AE7" w:rsidRPr="00FF7EDF" w:rsidTr="00CC17A2">
        <w:trPr>
          <w:trHeight w:val="60"/>
          <w:jc w:val="center"/>
        </w:trPr>
        <w:tc>
          <w:tcPr>
            <w:tcW w:w="993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CO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004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E151D0">
              <w:rPr>
                <w:rFonts w:ascii="Times New Roman" w:hAnsi="Times New Roman"/>
                <w:sz w:val="18"/>
                <w:szCs w:val="18"/>
              </w:rPr>
              <w:t>223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0,072</w:t>
            </w:r>
          </w:p>
        </w:tc>
        <w:tc>
          <w:tcPr>
            <w:tcW w:w="99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710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70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2320</w:t>
            </w:r>
          </w:p>
        </w:tc>
        <w:tc>
          <w:tcPr>
            <w:tcW w:w="881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0,096</w:t>
            </w:r>
          </w:p>
        </w:tc>
        <w:tc>
          <w:tcPr>
            <w:tcW w:w="943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63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911AE7" w:rsidRPr="00FF7EDF" w:rsidTr="00CC17A2">
        <w:trPr>
          <w:jc w:val="center"/>
        </w:trPr>
        <w:tc>
          <w:tcPr>
            <w:tcW w:w="993" w:type="dxa"/>
            <w:vAlign w:val="center"/>
          </w:tcPr>
          <w:p w:rsidR="00911AE7" w:rsidRPr="00FF7EDF" w:rsidRDefault="00911AE7" w:rsidP="009F7B8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005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E151D0">
              <w:rPr>
                <w:rFonts w:ascii="Times New Roman" w:hAnsi="Times New Roman"/>
                <w:sz w:val="18"/>
                <w:szCs w:val="18"/>
              </w:rPr>
              <w:t>223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99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0,076</w:t>
            </w:r>
          </w:p>
        </w:tc>
        <w:tc>
          <w:tcPr>
            <w:tcW w:w="710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70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1920</w:t>
            </w:r>
          </w:p>
        </w:tc>
        <w:tc>
          <w:tcPr>
            <w:tcW w:w="881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0,0088</w:t>
            </w:r>
          </w:p>
        </w:tc>
        <w:tc>
          <w:tcPr>
            <w:tcW w:w="943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0,98</w:t>
            </w:r>
          </w:p>
        </w:tc>
        <w:tc>
          <w:tcPr>
            <w:tcW w:w="63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</w:tr>
      <w:tr w:rsidR="00911AE7" w:rsidRPr="00FF7EDF" w:rsidTr="00CC17A2">
        <w:trPr>
          <w:jc w:val="center"/>
        </w:trPr>
        <w:tc>
          <w:tcPr>
            <w:tcW w:w="993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006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E151D0">
              <w:rPr>
                <w:rFonts w:ascii="Times New Roman" w:hAnsi="Times New Roman"/>
                <w:sz w:val="18"/>
                <w:szCs w:val="18"/>
              </w:rPr>
              <w:t>223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9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710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70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1940</w:t>
            </w:r>
          </w:p>
        </w:tc>
        <w:tc>
          <w:tcPr>
            <w:tcW w:w="881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0,0034</w:t>
            </w:r>
          </w:p>
        </w:tc>
        <w:tc>
          <w:tcPr>
            <w:tcW w:w="943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3,40</w:t>
            </w:r>
          </w:p>
        </w:tc>
        <w:tc>
          <w:tcPr>
            <w:tcW w:w="63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911AE7" w:rsidRPr="00FF7EDF" w:rsidTr="00CC17A2">
        <w:trPr>
          <w:jc w:val="center"/>
        </w:trPr>
        <w:tc>
          <w:tcPr>
            <w:tcW w:w="993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H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S (008)</w:t>
            </w:r>
          </w:p>
        </w:tc>
        <w:tc>
          <w:tcPr>
            <w:tcW w:w="84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E151D0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49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9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10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28.03</w:t>
            </w:r>
          </w:p>
        </w:tc>
        <w:tc>
          <w:tcPr>
            <w:tcW w:w="70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2220</w:t>
            </w:r>
          </w:p>
        </w:tc>
        <w:tc>
          <w:tcPr>
            <w:tcW w:w="881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43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3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</w:tr>
      <w:tr w:rsidR="00911AE7" w:rsidRPr="00FF7EDF" w:rsidTr="00CC17A2">
        <w:trPr>
          <w:jc w:val="center"/>
        </w:trPr>
        <w:tc>
          <w:tcPr>
            <w:tcW w:w="993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NH</w:t>
            </w:r>
            <w:r w:rsidRPr="00CC17A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="00CC1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4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E151D0">
              <w:rPr>
                <w:rFonts w:ascii="Times New Roman" w:hAnsi="Times New Roman"/>
                <w:sz w:val="18"/>
                <w:szCs w:val="18"/>
              </w:rPr>
              <w:t>223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Align w:val="center"/>
          </w:tcPr>
          <w:p w:rsidR="00911AE7" w:rsidRPr="00D67BC2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9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710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25.03</w:t>
            </w:r>
          </w:p>
        </w:tc>
        <w:tc>
          <w:tcPr>
            <w:tcW w:w="709" w:type="dxa"/>
            <w:vAlign w:val="center"/>
          </w:tcPr>
          <w:p w:rsidR="00911AE7" w:rsidRPr="00454FA9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881" w:type="dxa"/>
            <w:vAlign w:val="center"/>
          </w:tcPr>
          <w:p w:rsidR="00911AE7" w:rsidRPr="0020383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0,0014</w:t>
            </w:r>
          </w:p>
        </w:tc>
        <w:tc>
          <w:tcPr>
            <w:tcW w:w="943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  <w:tc>
          <w:tcPr>
            <w:tcW w:w="63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911AE7" w:rsidRPr="00FF7EDF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  <w:vAlign w:val="center"/>
          </w:tcPr>
          <w:p w:rsidR="00911AE7" w:rsidRPr="00DF4E28" w:rsidRDefault="00911AE7" w:rsidP="009F7B80">
            <w:pPr>
              <w:rPr>
                <w:rFonts w:ascii="Times New Roman" w:hAnsi="Times New Roman"/>
                <w:sz w:val="18"/>
                <w:szCs w:val="18"/>
              </w:rPr>
            </w:pPr>
            <w:r w:rsidRPr="007E4A5E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CC17A2" w:rsidRPr="006C6F25" w:rsidTr="00781446">
        <w:trPr>
          <w:jc w:val="center"/>
        </w:trPr>
        <w:tc>
          <w:tcPr>
            <w:tcW w:w="10609" w:type="dxa"/>
            <w:gridSpan w:val="15"/>
            <w:vAlign w:val="center"/>
          </w:tcPr>
          <w:p w:rsidR="00CC17A2" w:rsidRPr="006C6F25" w:rsidRDefault="00CC17A2" w:rsidP="009F7B8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C6F25">
              <w:rPr>
                <w:rFonts w:ascii="Times New Roman" w:hAnsi="Times New Roman"/>
                <w:b/>
                <w:sz w:val="18"/>
                <w:szCs w:val="18"/>
              </w:rPr>
              <w:t>СИ (пыль общая) – 0,92    НП=0    Уровень загрязнения: низкий</w:t>
            </w:r>
          </w:p>
        </w:tc>
      </w:tr>
    </w:tbl>
    <w:p w:rsidR="00911AE7" w:rsidRPr="006C6F25" w:rsidRDefault="00911AE7" w:rsidP="00CC5CE3">
      <w:pPr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C5CE3" w:rsidRPr="002E78C5" w:rsidRDefault="00CC5CE3" w:rsidP="00CC5CE3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низкий — менее или равен 5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повышенный — от 5 до 7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высокий — от 7 до 14</w:t>
      </w:r>
    </w:p>
    <w:p w:rsidR="00E25F2C" w:rsidRPr="002E78C5" w:rsidRDefault="00CC5CE3" w:rsidP="002E78C5">
      <w:pPr>
        <w:pStyle w:val="a4"/>
        <w:numPr>
          <w:ilvl w:val="0"/>
          <w:numId w:val="1"/>
        </w:numPr>
        <w:jc w:val="both"/>
        <w:rPr>
          <w:sz w:val="24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очень высокий — больше или равен 14</w:t>
      </w:r>
    </w:p>
    <w:sectPr w:rsidR="00E25F2C" w:rsidRPr="002E78C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26ACD"/>
    <w:rsid w:val="000353A4"/>
    <w:rsid w:val="000935E2"/>
    <w:rsid w:val="000D4598"/>
    <w:rsid w:val="000F4056"/>
    <w:rsid w:val="00110163"/>
    <w:rsid w:val="001B10D1"/>
    <w:rsid w:val="001C5FF5"/>
    <w:rsid w:val="001C67AC"/>
    <w:rsid w:val="001F2FB1"/>
    <w:rsid w:val="002101E6"/>
    <w:rsid w:val="002475C6"/>
    <w:rsid w:val="00255C61"/>
    <w:rsid w:val="002877E3"/>
    <w:rsid w:val="002B77FE"/>
    <w:rsid w:val="002D1563"/>
    <w:rsid w:val="002E78C5"/>
    <w:rsid w:val="00304264"/>
    <w:rsid w:val="0031466E"/>
    <w:rsid w:val="00321F3B"/>
    <w:rsid w:val="00337161"/>
    <w:rsid w:val="00384BA5"/>
    <w:rsid w:val="003C1337"/>
    <w:rsid w:val="003C1C99"/>
    <w:rsid w:val="003F1F39"/>
    <w:rsid w:val="003F6292"/>
    <w:rsid w:val="00463B6E"/>
    <w:rsid w:val="00473C8B"/>
    <w:rsid w:val="00495754"/>
    <w:rsid w:val="004D38F7"/>
    <w:rsid w:val="004E430C"/>
    <w:rsid w:val="00514981"/>
    <w:rsid w:val="00567919"/>
    <w:rsid w:val="00572978"/>
    <w:rsid w:val="0057515B"/>
    <w:rsid w:val="00597311"/>
    <w:rsid w:val="005A18A6"/>
    <w:rsid w:val="005A617D"/>
    <w:rsid w:val="00614BA0"/>
    <w:rsid w:val="00622647"/>
    <w:rsid w:val="006261D2"/>
    <w:rsid w:val="006B4A74"/>
    <w:rsid w:val="006B4F7C"/>
    <w:rsid w:val="006C6F25"/>
    <w:rsid w:val="006D7DFA"/>
    <w:rsid w:val="007206BC"/>
    <w:rsid w:val="0072592A"/>
    <w:rsid w:val="00742451"/>
    <w:rsid w:val="0079469B"/>
    <w:rsid w:val="007C6E43"/>
    <w:rsid w:val="007D56CA"/>
    <w:rsid w:val="008031D1"/>
    <w:rsid w:val="00857952"/>
    <w:rsid w:val="00866657"/>
    <w:rsid w:val="00881646"/>
    <w:rsid w:val="00884D03"/>
    <w:rsid w:val="008B1D09"/>
    <w:rsid w:val="00911AE7"/>
    <w:rsid w:val="00935831"/>
    <w:rsid w:val="00937CD6"/>
    <w:rsid w:val="00986AA6"/>
    <w:rsid w:val="0099165E"/>
    <w:rsid w:val="009A6FAA"/>
    <w:rsid w:val="009C0AE4"/>
    <w:rsid w:val="009C47D3"/>
    <w:rsid w:val="009E40B6"/>
    <w:rsid w:val="00A703D5"/>
    <w:rsid w:val="00A94606"/>
    <w:rsid w:val="00B13223"/>
    <w:rsid w:val="00BB2969"/>
    <w:rsid w:val="00BB3852"/>
    <w:rsid w:val="00BB73FD"/>
    <w:rsid w:val="00BC4A2F"/>
    <w:rsid w:val="00BE5ECB"/>
    <w:rsid w:val="00BF7EA7"/>
    <w:rsid w:val="00C25965"/>
    <w:rsid w:val="00C9471C"/>
    <w:rsid w:val="00CC17A2"/>
    <w:rsid w:val="00CC5CE3"/>
    <w:rsid w:val="00CC6999"/>
    <w:rsid w:val="00D30AF1"/>
    <w:rsid w:val="00D829A6"/>
    <w:rsid w:val="00E01202"/>
    <w:rsid w:val="00E02042"/>
    <w:rsid w:val="00E21837"/>
    <w:rsid w:val="00E25F2C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4F98D-E138-4A53-9829-829AB77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8</cp:revision>
  <cp:lastPrinted>2025-11-26T14:55:00Z</cp:lastPrinted>
  <dcterms:created xsi:type="dcterms:W3CDTF">2026-04-13T12:56:00Z</dcterms:created>
  <dcterms:modified xsi:type="dcterms:W3CDTF">2026-04-15T11:55:00Z</dcterms:modified>
</cp:coreProperties>
</file>