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E4" w:rsidRPr="00422266" w:rsidRDefault="009C0AE4" w:rsidP="00812E79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</w:t>
      </w:r>
    </w:p>
    <w:p w:rsidR="00C9471C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наблюдений случаев высокого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загрязнения (ВЗ) и экстремально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высокого загрязнения (ЭВЗ) атмосферного воздуха зафиксировано не было.</w:t>
      </w:r>
    </w:p>
    <w:p w:rsidR="00514981" w:rsidRDefault="00514981" w:rsidP="00514981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657">
        <w:rPr>
          <w:rFonts w:ascii="Times New Roman" w:eastAsia="Times New Roman" w:hAnsi="Times New Roman"/>
          <w:sz w:val="24"/>
          <w:szCs w:val="24"/>
          <w:lang w:eastAsia="ru-RU"/>
        </w:rPr>
        <w:t>Отбор проб на автоматическом стационарном посту осуществлялся в штатном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6657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66657">
        <w:rPr>
          <w:rFonts w:ascii="Times New Roman" w:eastAsia="Times New Roman" w:hAnsi="Times New Roman"/>
          <w:sz w:val="24"/>
          <w:szCs w:val="24"/>
          <w:lang w:eastAsia="ru-RU"/>
        </w:rPr>
        <w:t>в течение вс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ех календарных дней непрерывно.</w:t>
      </w:r>
    </w:p>
    <w:p w:rsidR="009B7996" w:rsidRDefault="009B7996" w:rsidP="009B799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>. по 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оксиду серы, оксиду </w:t>
      </w:r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 xml:space="preserve">углерода, диоксиду азота, аммиаку, сероводороду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пыли общей не наблюдалось. Было </w:t>
      </w:r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 xml:space="preserve">зафиксировано </w:t>
      </w:r>
      <w:r w:rsidR="00812E7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 xml:space="preserve">4 случая превышения </w:t>
      </w:r>
      <w:proofErr w:type="spellStart"/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>. по показа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телю оксид азота. Повторяемость </w:t>
      </w:r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 xml:space="preserve">случаев превышения </w:t>
      </w:r>
      <w:r w:rsidR="00812E7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оксиду азота </w:t>
      </w:r>
      <w:proofErr w:type="spellStart"/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>. составил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менее 1% от общего количества проб.</w:t>
      </w:r>
    </w:p>
    <w:p w:rsidR="009B7996" w:rsidRPr="009B7996" w:rsidRDefault="009B7996" w:rsidP="009B799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>Выезд специалистов экологической 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боратории ООО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Аналитик.Лаб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на </w:t>
      </w:r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территорию города </w:t>
      </w:r>
      <w:proofErr w:type="spellStart"/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>Кудрово</w:t>
      </w:r>
      <w:proofErr w:type="spellEnd"/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проведен 29 апреля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26 года по адресу Ленинградская </w:t>
      </w:r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область, Всеволожский район, г. </w:t>
      </w:r>
      <w:proofErr w:type="spellStart"/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>Кудрово</w:t>
      </w:r>
      <w:proofErr w:type="spellEnd"/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>, ул. Ленинград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ская, д.8. </w:t>
      </w:r>
      <w:r w:rsidR="00812E79"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По полученным данным экспедиционного наблюдения, случаев превышения </w:t>
      </w:r>
      <w:proofErr w:type="spellStart"/>
      <w:r w:rsidR="00812E79" w:rsidRPr="00417BC1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="00812E79" w:rsidRPr="00417BC1">
        <w:rPr>
          <w:rFonts w:ascii="Times New Roman" w:eastAsia="Times New Roman" w:hAnsi="Times New Roman"/>
          <w:sz w:val="24"/>
          <w:szCs w:val="24"/>
          <w:lang w:eastAsia="ru-RU"/>
        </w:rPr>
        <w:t>. по диоксиду серы, оксиду углерода, оксиду азота, диоксиду азота, аммиаку, сероводороду и взвешенным вещества</w:t>
      </w:r>
      <w:r w:rsidR="00812E7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812E79"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выявлено.</w:t>
      </w:r>
    </w:p>
    <w:p w:rsidR="00812E79" w:rsidRDefault="00812E79" w:rsidP="009B799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этом диапазоне погрешности газоанализаторов очень велики по отношению к значению полученного результата измерений. Это необходимо учитывать при проведении анализа, </w:t>
      </w:r>
      <w:r w:rsidR="00361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возрастает степень влияния случайных факторов, порождающих погрешности измерений,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>на получаемые результаты.</w:t>
      </w:r>
    </w:p>
    <w:p w:rsidR="00F60085" w:rsidRPr="00F60085" w:rsidRDefault="009B7996" w:rsidP="009B799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>На основании всех полученных за исс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ледуемый период данных, степень </w:t>
      </w:r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>загрязнения атмосферного воздуха в районе размещения стационар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ного поста может быть </w:t>
      </w:r>
      <w:r w:rsidRPr="009B7996">
        <w:rPr>
          <w:rFonts w:ascii="Times New Roman" w:eastAsia="Times New Roman" w:hAnsi="Times New Roman"/>
          <w:sz w:val="24"/>
          <w:szCs w:val="24"/>
          <w:lang w:eastAsia="ru-RU"/>
        </w:rPr>
        <w:t>охарактеризована, как «низкая».</w:t>
      </w:r>
      <w:bookmarkStart w:id="0" w:name="_GoBack"/>
      <w:bookmarkEnd w:id="0"/>
    </w:p>
    <w:p w:rsidR="00304264" w:rsidRPr="00B57E37" w:rsidRDefault="00304264" w:rsidP="00304264">
      <w:pPr>
        <w:spacing w:line="276" w:lineRule="auto"/>
        <w:rPr>
          <w:rFonts w:ascii="Times New Roman" w:hAnsi="Times New Roman"/>
          <w:sz w:val="24"/>
          <w:szCs w:val="24"/>
        </w:rPr>
      </w:pPr>
      <w:r w:rsidRPr="00B57E37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p w:rsidR="003456A3" w:rsidRPr="00B75721" w:rsidRDefault="003456A3" w:rsidP="003456A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3456A3" w:rsidRPr="00B75721" w:rsidTr="007C2DD4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5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Город  - </w:t>
            </w:r>
            <w:proofErr w:type="spellStart"/>
            <w:r w:rsidRPr="00B75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Кудрово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5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A3" w:rsidRPr="00B75721" w:rsidRDefault="003456A3" w:rsidP="00812E79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5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Месяц       </w:t>
            </w:r>
            <w:r w:rsidR="00812E7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апрель</w:t>
            </w:r>
          </w:p>
        </w:tc>
      </w:tr>
      <w:tr w:rsidR="003456A3" w:rsidRPr="00B75721" w:rsidTr="007C2DD4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A3" w:rsidRPr="00B75721" w:rsidRDefault="003456A3" w:rsidP="007C2DD4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7572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SkatStantion240</w:t>
            </w:r>
            <w:proofErr w:type="spellEnd"/>
            <w:r w:rsidRPr="00B7572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7572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Кудрово</w:t>
            </w:r>
            <w:proofErr w:type="spellEnd"/>
            <w:r w:rsidRPr="00B7572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5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3456A3" w:rsidRPr="00B75721" w:rsidRDefault="003456A3" w:rsidP="003456A3">
      <w:pPr>
        <w:rPr>
          <w:rFonts w:ascii="Times New Roman" w:hAnsi="Times New Roman"/>
        </w:rPr>
      </w:pPr>
    </w:p>
    <w:tbl>
      <w:tblPr>
        <w:tblW w:w="103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94"/>
        <w:gridCol w:w="824"/>
        <w:gridCol w:w="965"/>
        <w:gridCol w:w="683"/>
        <w:gridCol w:w="690"/>
        <w:gridCol w:w="863"/>
        <w:gridCol w:w="881"/>
        <w:gridCol w:w="596"/>
        <w:gridCol w:w="565"/>
        <w:gridCol w:w="398"/>
        <w:gridCol w:w="550"/>
        <w:gridCol w:w="550"/>
        <w:gridCol w:w="968"/>
      </w:tblGrid>
      <w:tr w:rsidR="003456A3" w:rsidRPr="00B75721" w:rsidTr="003456A3">
        <w:trPr>
          <w:trHeight w:val="138"/>
        </w:trPr>
        <w:tc>
          <w:tcPr>
            <w:tcW w:w="993" w:type="dxa"/>
            <w:vMerge w:val="restart"/>
            <w:vAlign w:val="center"/>
          </w:tcPr>
          <w:p w:rsidR="003456A3" w:rsidRPr="00B75721" w:rsidRDefault="003456A3" w:rsidP="007C2DD4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794" w:type="dxa"/>
            <w:vMerge w:val="restart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B75721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162" w:type="dxa"/>
            <w:gridSpan w:val="4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Концентрация, мг/м</w:t>
            </w:r>
            <w:r w:rsidRPr="003456A3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63" w:type="dxa"/>
            <w:vMerge w:val="restart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Средне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75721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75721">
              <w:rPr>
                <w:rFonts w:ascii="Times New Roman" w:hAnsi="Times New Roman"/>
                <w:sz w:val="18"/>
                <w:szCs w:val="18"/>
              </w:rPr>
              <w:t>тичес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 xml:space="preserve">кое </w:t>
            </w:r>
            <w:proofErr w:type="spellStart"/>
            <w:proofErr w:type="gramStart"/>
            <w:r w:rsidRPr="00B75721">
              <w:rPr>
                <w:rFonts w:ascii="Times New Roman" w:hAnsi="Times New Roman"/>
                <w:sz w:val="18"/>
                <w:szCs w:val="18"/>
              </w:rPr>
              <w:t>откло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B75721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B75721">
              <w:rPr>
                <w:rFonts w:ascii="Times New Roman" w:hAnsi="Times New Roman"/>
                <w:sz w:val="18"/>
                <w:szCs w:val="18"/>
              </w:rPr>
              <w:t>м</w:t>
            </w:r>
            <w:r w:rsidRPr="003456A3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81" w:type="dxa"/>
            <w:vMerge w:val="restart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75721">
              <w:rPr>
                <w:rFonts w:ascii="Times New Roman" w:hAnsi="Times New Roman"/>
                <w:sz w:val="18"/>
                <w:szCs w:val="18"/>
              </w:rPr>
              <w:t>Коэф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фициент</w:t>
            </w:r>
            <w:proofErr w:type="spellEnd"/>
            <w:proofErr w:type="gramEnd"/>
            <w:r w:rsidRPr="00B7572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75721">
              <w:rPr>
                <w:rFonts w:ascii="Times New Roman" w:hAnsi="Times New Roman"/>
                <w:sz w:val="18"/>
                <w:szCs w:val="18"/>
              </w:rPr>
              <w:t>вариа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1161" w:type="dxa"/>
            <w:gridSpan w:val="2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75721">
              <w:rPr>
                <w:rFonts w:ascii="Times New Roman" w:hAnsi="Times New Roman"/>
                <w:sz w:val="18"/>
                <w:szCs w:val="18"/>
              </w:rPr>
              <w:t>Повторяе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B75721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498" w:type="dxa"/>
            <w:gridSpan w:val="3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968" w:type="dxa"/>
            <w:vMerge w:val="restart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3456A3" w:rsidRPr="00B75721" w:rsidTr="003456A3">
        <w:trPr>
          <w:trHeight w:val="69"/>
        </w:trPr>
        <w:tc>
          <w:tcPr>
            <w:tcW w:w="993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vMerge w:val="restart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338" w:type="dxa"/>
            <w:gridSpan w:val="3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63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  <w:vAlign w:val="center"/>
          </w:tcPr>
          <w:p w:rsidR="003456A3" w:rsidRPr="00B75721" w:rsidRDefault="003456A3" w:rsidP="007C2DD4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</w:p>
          <w:p w:rsidR="003456A3" w:rsidRPr="00B75721" w:rsidRDefault="003456A3" w:rsidP="007C2DD4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5" w:type="dxa"/>
            <w:vMerge w:val="restart"/>
            <w:vAlign w:val="center"/>
          </w:tcPr>
          <w:p w:rsidR="003456A3" w:rsidRPr="00B75721" w:rsidRDefault="003456A3" w:rsidP="007C2DD4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398" w:type="dxa"/>
            <w:vMerge w:val="restart"/>
            <w:vAlign w:val="center"/>
          </w:tcPr>
          <w:p w:rsidR="003456A3" w:rsidRPr="00B75721" w:rsidRDefault="003456A3" w:rsidP="007C2DD4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50" w:type="dxa"/>
            <w:vMerge w:val="restart"/>
            <w:vAlign w:val="center"/>
          </w:tcPr>
          <w:p w:rsidR="003456A3" w:rsidRPr="00B75721" w:rsidRDefault="003456A3" w:rsidP="007C2DD4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  <w:p w:rsidR="003456A3" w:rsidRPr="00B75721" w:rsidRDefault="003456A3" w:rsidP="007C2DD4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50" w:type="dxa"/>
            <w:vMerge w:val="restart"/>
            <w:vAlign w:val="center"/>
          </w:tcPr>
          <w:p w:rsidR="003456A3" w:rsidRPr="00B75721" w:rsidRDefault="003456A3" w:rsidP="007C2DD4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  <w:p w:rsidR="003456A3" w:rsidRPr="00B75721" w:rsidRDefault="003456A3" w:rsidP="007C2DD4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968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A3" w:rsidRPr="00B75721" w:rsidTr="003456A3">
        <w:trPr>
          <w:trHeight w:val="59"/>
        </w:trPr>
        <w:tc>
          <w:tcPr>
            <w:tcW w:w="993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3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69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63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A3" w:rsidRPr="00B75721" w:rsidTr="003456A3">
        <w:trPr>
          <w:trHeight w:val="308"/>
        </w:trPr>
        <w:tc>
          <w:tcPr>
            <w:tcW w:w="993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Пыль общая (001)</w:t>
            </w:r>
          </w:p>
        </w:tc>
        <w:tc>
          <w:tcPr>
            <w:tcW w:w="794" w:type="dxa"/>
            <w:vAlign w:val="center"/>
          </w:tcPr>
          <w:p w:rsidR="003456A3" w:rsidRPr="00B75721" w:rsidRDefault="003456A3" w:rsidP="009A72F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</w:t>
            </w:r>
            <w:r w:rsidR="009A72F4"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824" w:type="dxa"/>
            <w:vAlign w:val="center"/>
          </w:tcPr>
          <w:p w:rsidR="003456A3" w:rsidRPr="00B75721" w:rsidRDefault="00812E79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65" w:type="dxa"/>
            <w:vAlign w:val="center"/>
          </w:tcPr>
          <w:p w:rsidR="003456A3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0,15</w:t>
            </w:r>
            <w:r w:rsidR="003456A3" w:rsidRPr="00B7572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3" w:type="dxa"/>
            <w:vAlign w:val="center"/>
          </w:tcPr>
          <w:p w:rsidR="003456A3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03.04</w:t>
            </w:r>
          </w:p>
        </w:tc>
        <w:tc>
          <w:tcPr>
            <w:tcW w:w="690" w:type="dxa"/>
            <w:vAlign w:val="center"/>
          </w:tcPr>
          <w:p w:rsidR="003456A3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01:20</w:t>
            </w:r>
          </w:p>
        </w:tc>
        <w:tc>
          <w:tcPr>
            <w:tcW w:w="863" w:type="dxa"/>
            <w:vAlign w:val="center"/>
          </w:tcPr>
          <w:p w:rsidR="003456A3" w:rsidRPr="00B75721" w:rsidRDefault="00812E79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881" w:type="dxa"/>
            <w:vAlign w:val="center"/>
          </w:tcPr>
          <w:p w:rsidR="003456A3" w:rsidRPr="00B75721" w:rsidRDefault="009A72F4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0,59</w:t>
            </w:r>
          </w:p>
        </w:tc>
        <w:tc>
          <w:tcPr>
            <w:tcW w:w="596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vAlign w:val="center"/>
          </w:tcPr>
          <w:p w:rsidR="003456A3" w:rsidRPr="00B75721" w:rsidRDefault="009A72F4" w:rsidP="009A72F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0,15</w:t>
            </w:r>
          </w:p>
        </w:tc>
      </w:tr>
      <w:tr w:rsidR="003456A3" w:rsidRPr="00B75721" w:rsidTr="003456A3">
        <w:trPr>
          <w:trHeight w:val="259"/>
        </w:trPr>
        <w:tc>
          <w:tcPr>
            <w:tcW w:w="993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SO</w:t>
            </w:r>
            <w:r w:rsidRPr="003456A3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00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</w:p>
        </w:tc>
        <w:tc>
          <w:tcPr>
            <w:tcW w:w="794" w:type="dxa"/>
            <w:vAlign w:val="center"/>
          </w:tcPr>
          <w:p w:rsidR="003456A3" w:rsidRPr="00B75721" w:rsidRDefault="009A72F4" w:rsidP="007C2DD4">
            <w:pPr>
              <w:rPr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824" w:type="dxa"/>
            <w:vAlign w:val="center"/>
          </w:tcPr>
          <w:p w:rsidR="003456A3" w:rsidRPr="00B75721" w:rsidRDefault="009A72F4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965" w:type="dxa"/>
            <w:vAlign w:val="center"/>
          </w:tcPr>
          <w:p w:rsidR="003456A3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0,014</w:t>
            </w:r>
          </w:p>
        </w:tc>
        <w:tc>
          <w:tcPr>
            <w:tcW w:w="683" w:type="dxa"/>
            <w:vAlign w:val="center"/>
          </w:tcPr>
          <w:p w:rsidR="003456A3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30.04</w:t>
            </w:r>
          </w:p>
        </w:tc>
        <w:tc>
          <w:tcPr>
            <w:tcW w:w="690" w:type="dxa"/>
            <w:vAlign w:val="center"/>
          </w:tcPr>
          <w:p w:rsidR="003456A3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08:20</w:t>
            </w:r>
          </w:p>
        </w:tc>
        <w:tc>
          <w:tcPr>
            <w:tcW w:w="863" w:type="dxa"/>
            <w:vAlign w:val="center"/>
          </w:tcPr>
          <w:p w:rsidR="003456A3" w:rsidRPr="00B75721" w:rsidRDefault="009A72F4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81" w:type="dxa"/>
            <w:vAlign w:val="center"/>
          </w:tcPr>
          <w:p w:rsidR="003456A3" w:rsidRPr="00B75721" w:rsidRDefault="009A72F4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1,86</w:t>
            </w:r>
          </w:p>
        </w:tc>
        <w:tc>
          <w:tcPr>
            <w:tcW w:w="596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vAlign w:val="center"/>
          </w:tcPr>
          <w:p w:rsidR="003456A3" w:rsidRPr="00B75721" w:rsidRDefault="009A72F4" w:rsidP="009A72F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</w:tr>
      <w:tr w:rsidR="003456A3" w:rsidRPr="00B75721" w:rsidTr="003456A3">
        <w:trPr>
          <w:trHeight w:val="276"/>
        </w:trPr>
        <w:tc>
          <w:tcPr>
            <w:tcW w:w="993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CO (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004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4" w:type="dxa"/>
            <w:vAlign w:val="center"/>
          </w:tcPr>
          <w:p w:rsidR="003456A3" w:rsidRPr="00B75721" w:rsidRDefault="009A72F4" w:rsidP="007C2DD4">
            <w:pPr>
              <w:rPr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824" w:type="dxa"/>
            <w:vAlign w:val="center"/>
          </w:tcPr>
          <w:p w:rsidR="003456A3" w:rsidRPr="00B75721" w:rsidRDefault="00812E79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0,17</w:t>
            </w:r>
          </w:p>
        </w:tc>
        <w:tc>
          <w:tcPr>
            <w:tcW w:w="965" w:type="dxa"/>
            <w:vAlign w:val="center"/>
          </w:tcPr>
          <w:p w:rsidR="003456A3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683" w:type="dxa"/>
            <w:vAlign w:val="center"/>
          </w:tcPr>
          <w:p w:rsidR="003456A3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02.04</w:t>
            </w:r>
          </w:p>
          <w:p w:rsidR="009A72F4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21.04</w:t>
            </w:r>
          </w:p>
        </w:tc>
        <w:tc>
          <w:tcPr>
            <w:tcW w:w="690" w:type="dxa"/>
            <w:vAlign w:val="center"/>
          </w:tcPr>
          <w:p w:rsidR="003456A3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22:20</w:t>
            </w:r>
          </w:p>
          <w:p w:rsidR="009A72F4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22:00</w:t>
            </w:r>
          </w:p>
        </w:tc>
        <w:tc>
          <w:tcPr>
            <w:tcW w:w="863" w:type="dxa"/>
            <w:vAlign w:val="center"/>
          </w:tcPr>
          <w:p w:rsidR="003456A3" w:rsidRPr="00B75721" w:rsidRDefault="00812E79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0,21</w:t>
            </w:r>
          </w:p>
        </w:tc>
        <w:tc>
          <w:tcPr>
            <w:tcW w:w="881" w:type="dxa"/>
            <w:vAlign w:val="center"/>
          </w:tcPr>
          <w:p w:rsidR="003456A3" w:rsidRPr="00B75721" w:rsidRDefault="009A72F4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1,29</w:t>
            </w:r>
          </w:p>
        </w:tc>
        <w:tc>
          <w:tcPr>
            <w:tcW w:w="596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vAlign w:val="center"/>
          </w:tcPr>
          <w:p w:rsidR="003456A3" w:rsidRPr="00B75721" w:rsidRDefault="009A72F4" w:rsidP="009A72F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0,09</w:t>
            </w:r>
          </w:p>
        </w:tc>
      </w:tr>
      <w:tr w:rsidR="003456A3" w:rsidRPr="00B75721" w:rsidTr="003456A3">
        <w:trPr>
          <w:trHeight w:val="274"/>
        </w:trPr>
        <w:tc>
          <w:tcPr>
            <w:tcW w:w="993" w:type="dxa"/>
            <w:vAlign w:val="center"/>
          </w:tcPr>
          <w:p w:rsidR="003456A3" w:rsidRPr="00B75721" w:rsidRDefault="003456A3" w:rsidP="007C2DD4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  <w:r w:rsidRPr="003456A3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005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4" w:type="dxa"/>
            <w:vAlign w:val="center"/>
          </w:tcPr>
          <w:p w:rsidR="003456A3" w:rsidRPr="00B75721" w:rsidRDefault="009A72F4" w:rsidP="007C2DD4">
            <w:pPr>
              <w:rPr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824" w:type="dxa"/>
            <w:vAlign w:val="center"/>
          </w:tcPr>
          <w:p w:rsidR="003456A3" w:rsidRPr="00B75721" w:rsidRDefault="00812E79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965" w:type="dxa"/>
            <w:vAlign w:val="center"/>
          </w:tcPr>
          <w:p w:rsidR="003456A3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0,128</w:t>
            </w:r>
          </w:p>
        </w:tc>
        <w:tc>
          <w:tcPr>
            <w:tcW w:w="683" w:type="dxa"/>
            <w:vAlign w:val="center"/>
          </w:tcPr>
          <w:p w:rsidR="003456A3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21.04</w:t>
            </w:r>
          </w:p>
        </w:tc>
        <w:tc>
          <w:tcPr>
            <w:tcW w:w="690" w:type="dxa"/>
            <w:vAlign w:val="center"/>
          </w:tcPr>
          <w:p w:rsidR="003456A3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22:40</w:t>
            </w:r>
          </w:p>
        </w:tc>
        <w:tc>
          <w:tcPr>
            <w:tcW w:w="863" w:type="dxa"/>
            <w:vAlign w:val="center"/>
          </w:tcPr>
          <w:p w:rsidR="003456A3" w:rsidRPr="00B75721" w:rsidRDefault="00812E79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881" w:type="dxa"/>
            <w:vAlign w:val="center"/>
          </w:tcPr>
          <w:p w:rsidR="003456A3" w:rsidRPr="00B75721" w:rsidRDefault="009A72F4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0,59</w:t>
            </w:r>
          </w:p>
        </w:tc>
        <w:tc>
          <w:tcPr>
            <w:tcW w:w="596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vAlign w:val="center"/>
          </w:tcPr>
          <w:p w:rsidR="003456A3" w:rsidRPr="00B75721" w:rsidRDefault="009A72F4" w:rsidP="009A72F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0,37</w:t>
            </w:r>
          </w:p>
        </w:tc>
      </w:tr>
      <w:tr w:rsidR="003456A3" w:rsidRPr="00B75721" w:rsidTr="003456A3">
        <w:trPr>
          <w:trHeight w:val="277"/>
        </w:trPr>
        <w:tc>
          <w:tcPr>
            <w:tcW w:w="993" w:type="dxa"/>
            <w:vAlign w:val="center"/>
          </w:tcPr>
          <w:p w:rsidR="003456A3" w:rsidRPr="00B75721" w:rsidRDefault="003456A3" w:rsidP="007C2DD4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NO (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006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4" w:type="dxa"/>
            <w:vAlign w:val="center"/>
          </w:tcPr>
          <w:p w:rsidR="003456A3" w:rsidRPr="00B75721" w:rsidRDefault="009A72F4" w:rsidP="007C2DD4">
            <w:pPr>
              <w:rPr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824" w:type="dxa"/>
            <w:vAlign w:val="center"/>
          </w:tcPr>
          <w:p w:rsidR="003456A3" w:rsidRPr="00B75721" w:rsidRDefault="00812E79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65" w:type="dxa"/>
            <w:vAlign w:val="center"/>
          </w:tcPr>
          <w:p w:rsidR="003456A3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0,448</w:t>
            </w:r>
          </w:p>
        </w:tc>
        <w:tc>
          <w:tcPr>
            <w:tcW w:w="683" w:type="dxa"/>
            <w:vAlign w:val="center"/>
          </w:tcPr>
          <w:p w:rsidR="003456A3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02.04</w:t>
            </w:r>
          </w:p>
        </w:tc>
        <w:tc>
          <w:tcPr>
            <w:tcW w:w="690" w:type="dxa"/>
            <w:vAlign w:val="center"/>
          </w:tcPr>
          <w:p w:rsidR="003456A3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22:20</w:t>
            </w:r>
          </w:p>
        </w:tc>
        <w:tc>
          <w:tcPr>
            <w:tcW w:w="863" w:type="dxa"/>
            <w:vAlign w:val="center"/>
          </w:tcPr>
          <w:p w:rsidR="003456A3" w:rsidRPr="00B75721" w:rsidRDefault="00812E79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881" w:type="dxa"/>
            <w:vAlign w:val="center"/>
          </w:tcPr>
          <w:p w:rsidR="003456A3" w:rsidRPr="00B75721" w:rsidRDefault="009A72F4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3,01</w:t>
            </w:r>
          </w:p>
        </w:tc>
        <w:tc>
          <w:tcPr>
            <w:tcW w:w="596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3456A3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vAlign w:val="center"/>
          </w:tcPr>
          <w:p w:rsidR="003456A3" w:rsidRPr="00B75721" w:rsidRDefault="009A72F4" w:rsidP="009A72F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0,27</w:t>
            </w:r>
          </w:p>
        </w:tc>
      </w:tr>
      <w:tr w:rsidR="003456A3" w:rsidRPr="00B75721" w:rsidTr="003456A3">
        <w:trPr>
          <w:trHeight w:val="282"/>
        </w:trPr>
        <w:tc>
          <w:tcPr>
            <w:tcW w:w="993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3456A3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S (00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8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4" w:type="dxa"/>
            <w:vAlign w:val="center"/>
          </w:tcPr>
          <w:p w:rsidR="003456A3" w:rsidRPr="00B75721" w:rsidRDefault="009A72F4" w:rsidP="007C2DD4">
            <w:pPr>
              <w:rPr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824" w:type="dxa"/>
            <w:vAlign w:val="center"/>
          </w:tcPr>
          <w:p w:rsidR="003456A3" w:rsidRPr="00B75721" w:rsidRDefault="003456A3" w:rsidP="007C2DD4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965" w:type="dxa"/>
            <w:vAlign w:val="center"/>
          </w:tcPr>
          <w:p w:rsidR="003456A3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0,0027</w:t>
            </w:r>
          </w:p>
        </w:tc>
        <w:tc>
          <w:tcPr>
            <w:tcW w:w="683" w:type="dxa"/>
            <w:vAlign w:val="center"/>
          </w:tcPr>
          <w:p w:rsidR="003456A3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03.04</w:t>
            </w:r>
          </w:p>
        </w:tc>
        <w:tc>
          <w:tcPr>
            <w:tcW w:w="690" w:type="dxa"/>
            <w:vAlign w:val="center"/>
          </w:tcPr>
          <w:p w:rsidR="003456A3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06:40</w:t>
            </w:r>
          </w:p>
          <w:p w:rsidR="009A72F4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07:20</w:t>
            </w:r>
          </w:p>
        </w:tc>
        <w:tc>
          <w:tcPr>
            <w:tcW w:w="863" w:type="dxa"/>
            <w:vAlign w:val="center"/>
          </w:tcPr>
          <w:p w:rsidR="003456A3" w:rsidRPr="00B75721" w:rsidRDefault="003456A3" w:rsidP="007C2DD4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881" w:type="dxa"/>
            <w:vAlign w:val="center"/>
          </w:tcPr>
          <w:p w:rsidR="003456A3" w:rsidRPr="00B75721" w:rsidRDefault="009A72F4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1,19</w:t>
            </w:r>
          </w:p>
        </w:tc>
        <w:tc>
          <w:tcPr>
            <w:tcW w:w="596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vAlign w:val="center"/>
          </w:tcPr>
          <w:p w:rsidR="003456A3" w:rsidRPr="00B75721" w:rsidRDefault="009A72F4" w:rsidP="009A72F4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0,09</w:t>
            </w:r>
          </w:p>
        </w:tc>
      </w:tr>
      <w:tr w:rsidR="003456A3" w:rsidRPr="00B75721" w:rsidTr="003456A3">
        <w:trPr>
          <w:trHeight w:val="271"/>
        </w:trPr>
        <w:tc>
          <w:tcPr>
            <w:tcW w:w="993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NH</w:t>
            </w:r>
            <w:r w:rsidRPr="003456A3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794" w:type="dxa"/>
            <w:vAlign w:val="center"/>
          </w:tcPr>
          <w:p w:rsidR="003456A3" w:rsidRPr="00B75721" w:rsidRDefault="009A72F4" w:rsidP="007C2DD4">
            <w:pPr>
              <w:rPr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824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965" w:type="dxa"/>
            <w:vAlign w:val="center"/>
          </w:tcPr>
          <w:p w:rsidR="003456A3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683" w:type="dxa"/>
            <w:vAlign w:val="center"/>
          </w:tcPr>
          <w:p w:rsidR="003456A3" w:rsidRPr="00B75721" w:rsidRDefault="009A72F4" w:rsidP="009A72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25.04</w:t>
            </w:r>
            <w:r w:rsidR="003456A3" w:rsidRPr="00B7572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vAlign w:val="center"/>
          </w:tcPr>
          <w:p w:rsidR="003456A3" w:rsidRPr="00B75721" w:rsidRDefault="009A72F4" w:rsidP="007C2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01:00</w:t>
            </w:r>
          </w:p>
        </w:tc>
        <w:tc>
          <w:tcPr>
            <w:tcW w:w="863" w:type="dxa"/>
            <w:vAlign w:val="center"/>
          </w:tcPr>
          <w:p w:rsidR="003456A3" w:rsidRPr="00B75721" w:rsidRDefault="009A72F4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881" w:type="dxa"/>
            <w:vAlign w:val="center"/>
          </w:tcPr>
          <w:p w:rsidR="003456A3" w:rsidRPr="00B75721" w:rsidRDefault="009A72F4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3,24</w:t>
            </w:r>
          </w:p>
        </w:tc>
        <w:tc>
          <w:tcPr>
            <w:tcW w:w="596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vAlign w:val="center"/>
          </w:tcPr>
          <w:p w:rsidR="003456A3" w:rsidRPr="00B75721" w:rsidRDefault="009A72F4" w:rsidP="009A72F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0,004</w:t>
            </w:r>
          </w:p>
        </w:tc>
      </w:tr>
      <w:tr w:rsidR="003456A3" w:rsidRPr="00B75721" w:rsidTr="003456A3">
        <w:trPr>
          <w:trHeight w:val="101"/>
        </w:trPr>
        <w:tc>
          <w:tcPr>
            <w:tcW w:w="10320" w:type="dxa"/>
            <w:gridSpan w:val="14"/>
            <w:vAlign w:val="center"/>
          </w:tcPr>
          <w:p w:rsidR="003456A3" w:rsidRPr="00B75721" w:rsidRDefault="009A72F4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СИ (оксид азота) – 1,1</w:t>
            </w:r>
            <w:r w:rsidR="003456A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="003456A3" w:rsidRPr="00B7572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</w:t>
            </w:r>
            <w:r w:rsidR="006C7E2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="003456A3" w:rsidRPr="00B7572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НП&lt;1</w:t>
            </w:r>
            <w:r w:rsidR="003456A3" w:rsidRPr="00B75721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="003456A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 xml:space="preserve">    </w:t>
            </w:r>
            <w:r w:rsidR="003456A3" w:rsidRPr="00B75721">
              <w:rPr>
                <w:rFonts w:ascii="Times New Roman" w:eastAsia="Times New Roman" w:hAnsi="Times New Roman"/>
                <w:b/>
                <w:sz w:val="18"/>
                <w:szCs w:val="18"/>
              </w:rPr>
              <w:t>Уровень загрязнения: низкий</w:t>
            </w:r>
          </w:p>
        </w:tc>
      </w:tr>
    </w:tbl>
    <w:p w:rsidR="00B35119" w:rsidRPr="001A3657" w:rsidRDefault="00B35119" w:rsidP="003456A3">
      <w:pPr>
        <w:jc w:val="both"/>
        <w:rPr>
          <w:rFonts w:ascii="Times New Roman" w:hAnsi="Times New Roman"/>
        </w:rPr>
      </w:pPr>
    </w:p>
    <w:p w:rsidR="00062454" w:rsidRPr="00F211E3" w:rsidRDefault="00062454" w:rsidP="00062454">
      <w:pPr>
        <w:jc w:val="both"/>
        <w:rPr>
          <w:rFonts w:ascii="Times New Roman" w:eastAsia="Times New Roman" w:hAnsi="Times New Roman"/>
          <w:szCs w:val="24"/>
          <w:lang w:eastAsia="ru-RU"/>
        </w:rPr>
      </w:pPr>
      <w:r w:rsidRPr="00F211E3">
        <w:rPr>
          <w:rFonts w:ascii="Times New Roman" w:eastAsia="Times New Roman" w:hAnsi="Times New Roman"/>
          <w:szCs w:val="24"/>
          <w:lang w:eastAsia="ru-RU"/>
        </w:rPr>
        <w:t>* ИЗА – индекс загрязнения атмосферы. В зависимости от значения ИЗА выделяют следующие уровни загрязнения воздуха:</w:t>
      </w:r>
    </w:p>
    <w:p w:rsidR="00062454" w:rsidRPr="00F211E3" w:rsidRDefault="00062454" w:rsidP="0006245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ru-RU"/>
        </w:rPr>
      </w:pPr>
      <w:r w:rsidRPr="00F211E3">
        <w:rPr>
          <w:rFonts w:ascii="Times New Roman" w:eastAsia="Times New Roman" w:hAnsi="Times New Roman"/>
          <w:szCs w:val="24"/>
          <w:lang w:eastAsia="ru-RU"/>
        </w:rPr>
        <w:t>низкий — менее или равен 5</w:t>
      </w:r>
    </w:p>
    <w:p w:rsidR="00062454" w:rsidRPr="00F211E3" w:rsidRDefault="00062454" w:rsidP="0006245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ru-RU"/>
        </w:rPr>
      </w:pPr>
      <w:r w:rsidRPr="00F211E3">
        <w:rPr>
          <w:rFonts w:ascii="Times New Roman" w:eastAsia="Times New Roman" w:hAnsi="Times New Roman"/>
          <w:szCs w:val="24"/>
          <w:lang w:eastAsia="ru-RU"/>
        </w:rPr>
        <w:t>повышенный — от 5 до 7</w:t>
      </w:r>
    </w:p>
    <w:p w:rsidR="00062454" w:rsidRPr="00F211E3" w:rsidRDefault="00062454" w:rsidP="0006245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ru-RU"/>
        </w:rPr>
      </w:pPr>
      <w:r w:rsidRPr="00F211E3">
        <w:rPr>
          <w:rFonts w:ascii="Times New Roman" w:eastAsia="Times New Roman" w:hAnsi="Times New Roman"/>
          <w:szCs w:val="24"/>
          <w:lang w:eastAsia="ru-RU"/>
        </w:rPr>
        <w:t>высокий — от 7 до 14</w:t>
      </w:r>
    </w:p>
    <w:p w:rsidR="00062454" w:rsidRPr="00F211E3" w:rsidRDefault="00062454" w:rsidP="00062454">
      <w:pPr>
        <w:pStyle w:val="a4"/>
        <w:numPr>
          <w:ilvl w:val="0"/>
          <w:numId w:val="1"/>
        </w:numPr>
        <w:jc w:val="both"/>
        <w:rPr>
          <w:szCs w:val="24"/>
        </w:rPr>
      </w:pPr>
      <w:r w:rsidRPr="00F211E3">
        <w:rPr>
          <w:rFonts w:ascii="Times New Roman" w:eastAsia="Times New Roman" w:hAnsi="Times New Roman"/>
          <w:szCs w:val="24"/>
          <w:lang w:eastAsia="ru-RU"/>
        </w:rPr>
        <w:t>очень высокий — больше или равен 14</w:t>
      </w:r>
    </w:p>
    <w:p w:rsidR="00857952" w:rsidRPr="00857952" w:rsidRDefault="00857952" w:rsidP="000D4598">
      <w:pPr>
        <w:jc w:val="both"/>
        <w:rPr>
          <w:rFonts w:ascii="Times New Roman" w:hAnsi="Times New Roman"/>
          <w:sz w:val="24"/>
          <w:szCs w:val="24"/>
        </w:rPr>
      </w:pPr>
    </w:p>
    <w:sectPr w:rsidR="00857952" w:rsidRPr="00857952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E4"/>
    <w:rsid w:val="00020291"/>
    <w:rsid w:val="000353A4"/>
    <w:rsid w:val="00062454"/>
    <w:rsid w:val="000D4598"/>
    <w:rsid w:val="001C5FF5"/>
    <w:rsid w:val="001C67AC"/>
    <w:rsid w:val="001F2FB1"/>
    <w:rsid w:val="002101E6"/>
    <w:rsid w:val="00255C61"/>
    <w:rsid w:val="002B77FE"/>
    <w:rsid w:val="002D1563"/>
    <w:rsid w:val="00304264"/>
    <w:rsid w:val="00323546"/>
    <w:rsid w:val="00337161"/>
    <w:rsid w:val="003456A3"/>
    <w:rsid w:val="00361CCC"/>
    <w:rsid w:val="00384BA5"/>
    <w:rsid w:val="00390C15"/>
    <w:rsid w:val="003B17EF"/>
    <w:rsid w:val="003C1337"/>
    <w:rsid w:val="003C1C99"/>
    <w:rsid w:val="003F6292"/>
    <w:rsid w:val="00417BC1"/>
    <w:rsid w:val="00463B6E"/>
    <w:rsid w:val="00473C8B"/>
    <w:rsid w:val="004841C3"/>
    <w:rsid w:val="00514981"/>
    <w:rsid w:val="005629D1"/>
    <w:rsid w:val="00572978"/>
    <w:rsid w:val="0057515B"/>
    <w:rsid w:val="005A617D"/>
    <w:rsid w:val="00614BA0"/>
    <w:rsid w:val="00622647"/>
    <w:rsid w:val="00623B29"/>
    <w:rsid w:val="006261D2"/>
    <w:rsid w:val="006B4A74"/>
    <w:rsid w:val="006C7E24"/>
    <w:rsid w:val="006D7DFA"/>
    <w:rsid w:val="0072592A"/>
    <w:rsid w:val="0079469B"/>
    <w:rsid w:val="007D56CA"/>
    <w:rsid w:val="008031D1"/>
    <w:rsid w:val="00812E79"/>
    <w:rsid w:val="00857952"/>
    <w:rsid w:val="00866657"/>
    <w:rsid w:val="00881646"/>
    <w:rsid w:val="00884D03"/>
    <w:rsid w:val="008952C8"/>
    <w:rsid w:val="008B1D09"/>
    <w:rsid w:val="00935831"/>
    <w:rsid w:val="00937CD6"/>
    <w:rsid w:val="00986AA6"/>
    <w:rsid w:val="0099165E"/>
    <w:rsid w:val="009A72F4"/>
    <w:rsid w:val="009B7996"/>
    <w:rsid w:val="009C0AE4"/>
    <w:rsid w:val="009E40B6"/>
    <w:rsid w:val="00A45876"/>
    <w:rsid w:val="00A94606"/>
    <w:rsid w:val="00B13223"/>
    <w:rsid w:val="00B35119"/>
    <w:rsid w:val="00B92E90"/>
    <w:rsid w:val="00BB2969"/>
    <w:rsid w:val="00BB73FD"/>
    <w:rsid w:val="00BC4A2F"/>
    <w:rsid w:val="00C25965"/>
    <w:rsid w:val="00C9471C"/>
    <w:rsid w:val="00CC6999"/>
    <w:rsid w:val="00D30AF1"/>
    <w:rsid w:val="00D829A6"/>
    <w:rsid w:val="00E01202"/>
    <w:rsid w:val="00E02042"/>
    <w:rsid w:val="00E26EC6"/>
    <w:rsid w:val="00E4699F"/>
    <w:rsid w:val="00E8140B"/>
    <w:rsid w:val="00E82438"/>
    <w:rsid w:val="00F211E3"/>
    <w:rsid w:val="00F60085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53E01-D8DF-4EF2-8722-F6C004EA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8</cp:revision>
  <cp:lastPrinted>2025-11-26T14:55:00Z</cp:lastPrinted>
  <dcterms:created xsi:type="dcterms:W3CDTF">2026-05-06T11:16:00Z</dcterms:created>
  <dcterms:modified xsi:type="dcterms:W3CDTF">2026-05-12T10:56:00Z</dcterms:modified>
</cp:coreProperties>
</file>